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E8" w:rsidRPr="008E723C" w:rsidRDefault="008E723C" w:rsidP="00ED2732">
      <w:pPr>
        <w:pStyle w:val="FedL1Heading"/>
        <w:rPr>
          <w:rFonts w:eastAsia="Times New Roman"/>
        </w:rPr>
      </w:pPr>
      <w:bookmarkStart w:id="0" w:name="_Toc464210024"/>
      <w:r w:rsidRPr="008E723C">
        <w:t>Purpose</w:t>
      </w:r>
      <w:bookmarkEnd w:id="0"/>
    </w:p>
    <w:p w:rsidR="00BA2BE8" w:rsidRPr="002C6731" w:rsidRDefault="00C91EFB" w:rsidP="00ED2732">
      <w:pPr>
        <w:pStyle w:val="FedBody1013"/>
      </w:pPr>
      <w:r w:rsidRPr="002C6731">
        <w:t>The purpose of these guidelines is to provide guidance to:</w:t>
      </w:r>
    </w:p>
    <w:p w:rsidR="00BA2BE8" w:rsidRPr="002C6731" w:rsidRDefault="00C91EFB" w:rsidP="00ED2732">
      <w:pPr>
        <w:pStyle w:val="FedBodyBulletIndent"/>
        <w:rPr>
          <w:rFonts w:eastAsia="Times New Roman"/>
        </w:rPr>
      </w:pPr>
      <w:r w:rsidRPr="002C6731">
        <w:rPr>
          <w:rFonts w:eastAsia="Times New Roman"/>
        </w:rPr>
        <w:t>applicants seeking equivalent standing to master's and doctoral degree qualifications in the preparation of applications; and</w:t>
      </w:r>
    </w:p>
    <w:p w:rsidR="00BA2BE8" w:rsidRPr="002C6731" w:rsidRDefault="00C91EFB" w:rsidP="00ED2732">
      <w:pPr>
        <w:pStyle w:val="FedBodyBulletIndent"/>
        <w:rPr>
          <w:rFonts w:eastAsia="Times New Roman"/>
        </w:rPr>
      </w:pPr>
      <w:r w:rsidRPr="002C6731">
        <w:rPr>
          <w:rFonts w:eastAsia="Times New Roman"/>
        </w:rPr>
        <w:t>committee members in determining equivalent standing.</w:t>
      </w:r>
    </w:p>
    <w:p w:rsidR="00BA2BE8" w:rsidRPr="008E723C" w:rsidRDefault="00C91EFB" w:rsidP="00ED2732">
      <w:pPr>
        <w:pStyle w:val="FedL1Heading"/>
        <w:rPr>
          <w:rFonts w:eastAsia="Times New Roman"/>
        </w:rPr>
      </w:pPr>
      <w:bookmarkStart w:id="1" w:name="section_211402"/>
      <w:bookmarkEnd w:id="1"/>
      <w:r w:rsidRPr="008E723C">
        <w:rPr>
          <w:rFonts w:eastAsia="Times New Roman"/>
        </w:rPr>
        <w:t xml:space="preserve">Definitions of </w:t>
      </w:r>
      <w:r w:rsidR="00ED2732" w:rsidRPr="008E723C">
        <w:rPr>
          <w:rFonts w:eastAsia="Times New Roman"/>
        </w:rPr>
        <w:t xml:space="preserve">equivalent accreditation and equivalent standing </w:t>
      </w:r>
    </w:p>
    <w:p w:rsidR="00BA2BE8" w:rsidRPr="002C6731" w:rsidRDefault="00C91EFB" w:rsidP="00ED2732">
      <w:pPr>
        <w:pStyle w:val="FedBody1013"/>
      </w:pPr>
      <w:r w:rsidRPr="002C6731">
        <w:t>Equivalent accreditation is the process by which the University determines whether an academic staff member’s qualifications, further training and professional development and experience are equal in value to that of a master's or doctoral degree.</w:t>
      </w:r>
    </w:p>
    <w:p w:rsidR="00BA2BE8" w:rsidRPr="002C6731" w:rsidRDefault="00C91EFB" w:rsidP="00ED2732">
      <w:pPr>
        <w:pStyle w:val="FedBody1013"/>
      </w:pPr>
      <w:r w:rsidRPr="002C6731">
        <w:t>Equivalent standing is the approved recognition equivalent to a master's or doctoral degree given to an academic staff member based on his/her qualifications, further training, professional development and experience.</w:t>
      </w:r>
    </w:p>
    <w:p w:rsidR="00BA2BE8" w:rsidRPr="008E723C" w:rsidRDefault="00C91EFB" w:rsidP="00ED2732">
      <w:pPr>
        <w:pStyle w:val="FedL1Heading"/>
        <w:rPr>
          <w:rFonts w:eastAsia="Times New Roman"/>
        </w:rPr>
      </w:pPr>
      <w:bookmarkStart w:id="2" w:name="section_211403"/>
      <w:bookmarkEnd w:id="2"/>
      <w:r w:rsidRPr="008E723C">
        <w:rPr>
          <w:rFonts w:eastAsia="Times New Roman"/>
        </w:rPr>
        <w:t xml:space="preserve">General </w:t>
      </w:r>
      <w:r w:rsidR="00ED2732" w:rsidRPr="008E723C">
        <w:rPr>
          <w:rFonts w:eastAsia="Times New Roman"/>
        </w:rPr>
        <w:t xml:space="preserve">principles of equivalent accreditation and standing </w:t>
      </w:r>
    </w:p>
    <w:p w:rsidR="00BA2BE8" w:rsidRPr="002C6731" w:rsidRDefault="00C91EFB" w:rsidP="00ED2732">
      <w:pPr>
        <w:pStyle w:val="FedBody1013"/>
      </w:pPr>
      <w:r w:rsidRPr="002C6731">
        <w:t>Academic staff members who want to apply for promotion, but do not have the expected qualification for the Academic Level, are eligible to apply for equivalent standing.</w:t>
      </w:r>
    </w:p>
    <w:p w:rsidR="00BA2BE8" w:rsidRPr="002C6731" w:rsidRDefault="00C91EFB" w:rsidP="00ED2732">
      <w:pPr>
        <w:pStyle w:val="FedBody1013"/>
      </w:pPr>
      <w:r w:rsidRPr="002C6731">
        <w:t>Equivalent standing must be established separately from and prior to the academic staff member submitting an application for academic promotion.</w:t>
      </w:r>
    </w:p>
    <w:p w:rsidR="00BA2BE8" w:rsidRPr="002C6731" w:rsidRDefault="00C91EFB" w:rsidP="00ED2732">
      <w:pPr>
        <w:pStyle w:val="FedBody1013"/>
      </w:pPr>
      <w:r w:rsidRPr="002C6731">
        <w:t>It is the responsibility of the academic staff member to formally advise the Executive Dean that s/he wishes to apply for equivalent standing.</w:t>
      </w:r>
    </w:p>
    <w:p w:rsidR="00BA2BE8" w:rsidRPr="002C6731" w:rsidRDefault="00C91EFB" w:rsidP="00ED2732">
      <w:pPr>
        <w:pStyle w:val="FedBody1013"/>
      </w:pPr>
      <w:r w:rsidRPr="002C6731">
        <w:t>A promotion committee will accept a promotion applicant’s approved status of equivalent standing.</w:t>
      </w:r>
    </w:p>
    <w:p w:rsidR="00BA2BE8" w:rsidRPr="008E723C" w:rsidRDefault="00C91EFB" w:rsidP="008E2F29">
      <w:pPr>
        <w:pStyle w:val="Heading1"/>
        <w:spacing w:before="300" w:after="100" w:line="400" w:lineRule="exact"/>
        <w:rPr>
          <w:rFonts w:ascii="Arial" w:eastAsia="Times New Roman" w:hAnsi="Arial" w:cs="Arial"/>
          <w:b/>
          <w:color w:val="1F4E79" w:themeColor="accent1" w:themeShade="80"/>
          <w:sz w:val="32"/>
        </w:rPr>
      </w:pPr>
      <w:bookmarkStart w:id="3" w:name="section_211404"/>
      <w:bookmarkEnd w:id="3"/>
      <w:r w:rsidRPr="008E723C">
        <w:rPr>
          <w:rFonts w:ascii="Arial" w:eastAsia="Times New Roman" w:hAnsi="Arial" w:cs="Arial"/>
          <w:b/>
          <w:color w:val="1F4E79" w:themeColor="accent1" w:themeShade="80"/>
          <w:sz w:val="32"/>
        </w:rPr>
        <w:t xml:space="preserve">Preparation of </w:t>
      </w:r>
      <w:r w:rsidR="00ED2732" w:rsidRPr="008E723C">
        <w:rPr>
          <w:rFonts w:ascii="Arial" w:eastAsia="Times New Roman" w:hAnsi="Arial" w:cs="Arial"/>
          <w:b/>
          <w:color w:val="1F4E79" w:themeColor="accent1" w:themeShade="80"/>
          <w:sz w:val="32"/>
        </w:rPr>
        <w:t xml:space="preserve">equivalent standing application </w:t>
      </w:r>
    </w:p>
    <w:p w:rsidR="00BA2BE8" w:rsidRPr="002C6731" w:rsidRDefault="00C91EFB" w:rsidP="00ED2732">
      <w:pPr>
        <w:pStyle w:val="FedBody1013"/>
      </w:pPr>
      <w:r w:rsidRPr="002C6731">
        <w:t>It is the responsibility of the academic staff member to prepare an application for equivalent standing demonstrating:</w:t>
      </w:r>
    </w:p>
    <w:p w:rsidR="00BA2BE8" w:rsidRPr="002C6731" w:rsidRDefault="00C91EFB" w:rsidP="00ED2732">
      <w:pPr>
        <w:pStyle w:val="FedBodyBulletIndent"/>
        <w:rPr>
          <w:rFonts w:eastAsia="Times New Roman"/>
        </w:rPr>
      </w:pPr>
      <w:r w:rsidRPr="002C6731">
        <w:rPr>
          <w:rFonts w:eastAsia="Times New Roman"/>
        </w:rPr>
        <w:t>professional qualifications and/or further education, training and professional development;</w:t>
      </w:r>
    </w:p>
    <w:p w:rsidR="00BA2BE8" w:rsidRPr="002C6731" w:rsidRDefault="00C91EFB" w:rsidP="00ED2732">
      <w:pPr>
        <w:pStyle w:val="FedBodyBulletIndent"/>
        <w:rPr>
          <w:rFonts w:eastAsia="Times New Roman"/>
        </w:rPr>
      </w:pPr>
      <w:r w:rsidRPr="002C6731">
        <w:rPr>
          <w:rFonts w:eastAsia="Times New Roman"/>
        </w:rPr>
        <w:t>his/her contributions to discipline/area and how these have enhanced his/her standing in the discipline/area;</w:t>
      </w:r>
    </w:p>
    <w:p w:rsidR="00BA2BE8" w:rsidRPr="002C6731" w:rsidRDefault="00C91EFB" w:rsidP="00ED2732">
      <w:pPr>
        <w:pStyle w:val="FedBodyBulletIndent"/>
        <w:rPr>
          <w:rFonts w:eastAsia="Times New Roman"/>
        </w:rPr>
      </w:pPr>
      <w:r w:rsidRPr="002C6731">
        <w:rPr>
          <w:rFonts w:eastAsia="Times New Roman"/>
        </w:rPr>
        <w:t>a substantial track record in research and/or creative work/projects at an advanced level;</w:t>
      </w:r>
    </w:p>
    <w:p w:rsidR="00BA2BE8" w:rsidRPr="002C6731" w:rsidRDefault="00C91EFB" w:rsidP="00ED2732">
      <w:pPr>
        <w:pStyle w:val="FedBodyBulletIndent"/>
        <w:rPr>
          <w:rFonts w:eastAsia="Times New Roman"/>
        </w:rPr>
      </w:pPr>
      <w:r w:rsidRPr="002C6731">
        <w:rPr>
          <w:rFonts w:eastAsia="Times New Roman"/>
        </w:rPr>
        <w:t>publications, presentations and work in progress;</w:t>
      </w:r>
    </w:p>
    <w:p w:rsidR="00BA2BE8" w:rsidRPr="002C6731" w:rsidRDefault="00C91EFB" w:rsidP="00ED2732">
      <w:pPr>
        <w:pStyle w:val="FedBodyBulletIndent"/>
        <w:rPr>
          <w:rFonts w:eastAsia="Times New Roman"/>
        </w:rPr>
      </w:pPr>
      <w:r w:rsidRPr="002C6731">
        <w:rPr>
          <w:rFonts w:eastAsia="Times New Roman"/>
        </w:rPr>
        <w:t xml:space="preserve">experience outside tertiary education in industry, business </w:t>
      </w:r>
      <w:r w:rsidR="00ED2732">
        <w:rPr>
          <w:rFonts w:eastAsia="Times New Roman"/>
        </w:rPr>
        <w:t>or government employment;</w:t>
      </w:r>
      <w:r w:rsidR="003A09BA">
        <w:rPr>
          <w:rFonts w:eastAsia="Times New Roman"/>
        </w:rPr>
        <w:t xml:space="preserve"> </w:t>
      </w:r>
      <w:r w:rsidRPr="002C6731">
        <w:rPr>
          <w:rFonts w:eastAsia="Times New Roman"/>
        </w:rPr>
        <w:t>and</w:t>
      </w:r>
    </w:p>
    <w:p w:rsidR="00BA2BE8" w:rsidRPr="002C6731" w:rsidRDefault="00C91EFB" w:rsidP="00ED2732">
      <w:pPr>
        <w:pStyle w:val="FedBodyBulletIndent"/>
        <w:rPr>
          <w:rFonts w:eastAsia="Times New Roman"/>
        </w:rPr>
      </w:pPr>
      <w:r w:rsidRPr="002C6731">
        <w:rPr>
          <w:rFonts w:eastAsia="Times New Roman"/>
        </w:rPr>
        <w:t>leadership in local, state or national advisory bodies and/or community organisations.</w:t>
      </w:r>
    </w:p>
    <w:p w:rsidR="00BA2BE8" w:rsidRPr="002C6731" w:rsidRDefault="00C91EFB" w:rsidP="0077109B">
      <w:pPr>
        <w:pStyle w:val="FedBody1013"/>
        <w:spacing w:after="240"/>
      </w:pPr>
      <w:r w:rsidRPr="002C6731">
        <w:rPr>
          <w:rStyle w:val="Strong"/>
          <w:i/>
          <w:iCs/>
        </w:rPr>
        <w:t>Please note: the above is not an exhaustive list of achievements and outcomes.</w:t>
      </w:r>
    </w:p>
    <w:p w:rsidR="00BA2BE8" w:rsidRPr="002C6731" w:rsidRDefault="00C91EFB" w:rsidP="00ED2732">
      <w:pPr>
        <w:pStyle w:val="FedBody1013"/>
      </w:pPr>
      <w:r w:rsidRPr="002C6731">
        <w:lastRenderedPageBreak/>
        <w:t>The applicant is responsible for providing supporting evidence for his/her application in the form of references by peers and/or evidence of public standing.</w:t>
      </w:r>
    </w:p>
    <w:p w:rsidR="00BA2BE8" w:rsidRPr="002C6731" w:rsidRDefault="00C91EFB" w:rsidP="00ED2732">
      <w:pPr>
        <w:pStyle w:val="FedBody1013"/>
      </w:pPr>
      <w:r w:rsidRPr="002C6731">
        <w:t xml:space="preserve">An application must not exceed five double-sided A4 pages and the preferred format is </w:t>
      </w:r>
      <w:r w:rsidR="003A7302" w:rsidRPr="002C6731">
        <w:t>Arial</w:t>
      </w:r>
      <w:r w:rsidR="003A09BA">
        <w:t xml:space="preserve"> typeface, 11 </w:t>
      </w:r>
      <w:r w:rsidRPr="002C6731">
        <w:t>point font with emboldened headings.</w:t>
      </w:r>
    </w:p>
    <w:p w:rsidR="00BA2BE8" w:rsidRPr="008E723C" w:rsidRDefault="00C91EFB" w:rsidP="00ED2732">
      <w:pPr>
        <w:pStyle w:val="FedL1Heading"/>
        <w:rPr>
          <w:rFonts w:eastAsia="Times New Roman"/>
        </w:rPr>
      </w:pPr>
      <w:bookmarkStart w:id="4" w:name="section_211405"/>
      <w:bookmarkEnd w:id="4"/>
      <w:r w:rsidRPr="008E723C">
        <w:rPr>
          <w:rFonts w:eastAsia="Times New Roman"/>
        </w:rPr>
        <w:t xml:space="preserve">Criteria for </w:t>
      </w:r>
      <w:r w:rsidR="00ED2732" w:rsidRPr="008E723C">
        <w:rPr>
          <w:rFonts w:eastAsia="Times New Roman"/>
        </w:rPr>
        <w:t xml:space="preserve">equivalent standing </w:t>
      </w:r>
    </w:p>
    <w:p w:rsidR="00BA2BE8" w:rsidRPr="002C6731" w:rsidRDefault="00C91EFB" w:rsidP="00ED2732">
      <w:pPr>
        <w:pStyle w:val="FedBody1013"/>
      </w:pPr>
      <w:r w:rsidRPr="002C6731">
        <w:t>In determining equivalent standing, regard will be given to research achievement, achievement outside tertiary education in industry, business or government employment, professional achievement and creative/technical achievement.</w:t>
      </w:r>
    </w:p>
    <w:p w:rsidR="00BA2BE8" w:rsidRPr="002C6731" w:rsidRDefault="00C91EFB" w:rsidP="0077109B">
      <w:pPr>
        <w:pStyle w:val="FedBody1013"/>
        <w:spacing w:after="240"/>
      </w:pPr>
      <w:r w:rsidRPr="002C6731">
        <w:t>If an applicant has been awarded a level of membership by an examining body, profession or similar institute that is widely considered by universities or the profession to be equivalent to a particular university degree, then the applicant will be awarded equivalent standing by the University’s committee.</w:t>
      </w:r>
    </w:p>
    <w:p w:rsidR="00BA2BE8" w:rsidRPr="002C6731" w:rsidRDefault="00C91EFB" w:rsidP="00ED2732">
      <w:pPr>
        <w:pStyle w:val="FedBody1013"/>
      </w:pPr>
      <w:r w:rsidRPr="002C6731">
        <w:t>For equivalent standing to a master’s degree, an applicant will demonstrate:</w:t>
      </w:r>
    </w:p>
    <w:p w:rsidR="00BA2BE8" w:rsidRPr="002C6731" w:rsidRDefault="00C91EFB" w:rsidP="00ED2732">
      <w:pPr>
        <w:pStyle w:val="FedBodyBulletIndent"/>
        <w:rPr>
          <w:rFonts w:eastAsia="Times New Roman"/>
        </w:rPr>
      </w:pPr>
      <w:r w:rsidRPr="002C6731">
        <w:rPr>
          <w:rFonts w:eastAsia="Times New Roman"/>
        </w:rPr>
        <w:t>sustained achievement in professional development activities; </w:t>
      </w:r>
      <w:r w:rsidRPr="002C6731">
        <w:rPr>
          <w:rStyle w:val="Strong"/>
          <w:rFonts w:eastAsia="Times New Roman" w:cs="Arial"/>
        </w:rPr>
        <w:t>and</w:t>
      </w:r>
    </w:p>
    <w:p w:rsidR="00BA2BE8" w:rsidRPr="002C6731" w:rsidRDefault="00C91EFB" w:rsidP="00ED2732">
      <w:pPr>
        <w:pStyle w:val="FedBodyBulletIndent"/>
        <w:rPr>
          <w:rFonts w:eastAsia="Times New Roman"/>
        </w:rPr>
      </w:pPr>
      <w:r w:rsidRPr="002C6731">
        <w:rPr>
          <w:rFonts w:eastAsia="Times New Roman"/>
        </w:rPr>
        <w:t xml:space="preserve">advanced knowledge and achievement across a significant portion </w:t>
      </w:r>
      <w:r w:rsidR="00AE19CC">
        <w:rPr>
          <w:rFonts w:eastAsia="Times New Roman"/>
        </w:rPr>
        <w:t>of his/her field of expertise; </w:t>
      </w:r>
      <w:r w:rsidRPr="002C6731">
        <w:rPr>
          <w:rStyle w:val="Strong"/>
          <w:rFonts w:eastAsia="Times New Roman" w:cs="Arial"/>
        </w:rPr>
        <w:t>or</w:t>
      </w:r>
    </w:p>
    <w:p w:rsidR="00BA2BE8" w:rsidRPr="002C6731" w:rsidRDefault="00C91EFB" w:rsidP="0077109B">
      <w:pPr>
        <w:pStyle w:val="FedBodyBulletIndent"/>
        <w:spacing w:after="240"/>
        <w:rPr>
          <w:rFonts w:eastAsia="Times New Roman"/>
        </w:rPr>
      </w:pPr>
      <w:r w:rsidRPr="002C6731">
        <w:rPr>
          <w:rFonts w:eastAsia="Times New Roman"/>
        </w:rPr>
        <w:t>detailed knowledge and achievement in a particular part of his/her field.</w:t>
      </w:r>
    </w:p>
    <w:p w:rsidR="00BA2BE8" w:rsidRPr="002C6731" w:rsidRDefault="00C91EFB" w:rsidP="00ED2732">
      <w:pPr>
        <w:pStyle w:val="FedBody1013"/>
      </w:pPr>
      <w:r w:rsidRPr="002C6731">
        <w:t>For equivalent standing to a doctoral degree, an applicant will demonstrate:</w:t>
      </w:r>
    </w:p>
    <w:p w:rsidR="00BA2BE8" w:rsidRPr="002C6731" w:rsidRDefault="00C91EFB" w:rsidP="00ED2732">
      <w:pPr>
        <w:pStyle w:val="FedBodyBulletIndent"/>
        <w:rPr>
          <w:rFonts w:eastAsia="Times New Roman"/>
        </w:rPr>
      </w:pPr>
      <w:r w:rsidRPr="002C6731">
        <w:rPr>
          <w:rFonts w:eastAsia="Times New Roman"/>
        </w:rPr>
        <w:t>sustained achievement in profes</w:t>
      </w:r>
      <w:r w:rsidR="00AE19CC">
        <w:rPr>
          <w:rFonts w:eastAsia="Times New Roman"/>
        </w:rPr>
        <w:t>sional development activities; </w:t>
      </w:r>
      <w:r w:rsidRPr="002C6731">
        <w:rPr>
          <w:rStyle w:val="Strong"/>
          <w:rFonts w:eastAsia="Times New Roman" w:cs="Arial"/>
        </w:rPr>
        <w:t>and</w:t>
      </w:r>
    </w:p>
    <w:p w:rsidR="00BA2BE8" w:rsidRPr="002C6731" w:rsidRDefault="00C91EFB" w:rsidP="00ED2732">
      <w:pPr>
        <w:pStyle w:val="FedBodyBulletIndent"/>
        <w:rPr>
          <w:rFonts w:eastAsia="Times New Roman"/>
        </w:rPr>
      </w:pPr>
      <w:r w:rsidRPr="002C6731">
        <w:rPr>
          <w:rFonts w:eastAsia="Times New Roman"/>
        </w:rPr>
        <w:t>broad knowledge and achievement across his/her field of expertise; </w:t>
      </w:r>
      <w:r w:rsidRPr="002C6731">
        <w:rPr>
          <w:rStyle w:val="Strong"/>
          <w:rFonts w:eastAsia="Times New Roman" w:cs="Arial"/>
        </w:rPr>
        <w:t>and</w:t>
      </w:r>
    </w:p>
    <w:p w:rsidR="00BA2BE8" w:rsidRPr="002C6731" w:rsidRDefault="00C91EFB" w:rsidP="00ED2732">
      <w:pPr>
        <w:pStyle w:val="FedBodyBulletIndent"/>
        <w:rPr>
          <w:rFonts w:eastAsia="Times New Roman"/>
        </w:rPr>
      </w:pPr>
      <w:r w:rsidRPr="002C6731">
        <w:rPr>
          <w:rFonts w:eastAsia="Times New Roman"/>
        </w:rPr>
        <w:t>in-depth knowledge and achievement in a particular part of his/her field.</w:t>
      </w:r>
    </w:p>
    <w:p w:rsidR="00BA2BE8" w:rsidRPr="008E723C" w:rsidRDefault="00C91EFB" w:rsidP="00ED2732">
      <w:pPr>
        <w:pStyle w:val="FedL1Heading"/>
        <w:rPr>
          <w:rFonts w:eastAsia="Times New Roman"/>
        </w:rPr>
      </w:pPr>
      <w:bookmarkStart w:id="5" w:name="section_211406"/>
      <w:bookmarkEnd w:id="5"/>
      <w:r w:rsidRPr="008E723C">
        <w:rPr>
          <w:rFonts w:eastAsia="Times New Roman"/>
        </w:rPr>
        <w:t xml:space="preserve">Process for </w:t>
      </w:r>
      <w:r w:rsidR="00ED2732" w:rsidRPr="008E723C">
        <w:rPr>
          <w:rFonts w:eastAsia="Times New Roman"/>
        </w:rPr>
        <w:t xml:space="preserve">obtaining equivalent standing </w:t>
      </w:r>
    </w:p>
    <w:p w:rsidR="00BA2BE8" w:rsidRPr="002C6731" w:rsidRDefault="00C91EFB" w:rsidP="00ED2732">
      <w:pPr>
        <w:pStyle w:val="FedBody1013"/>
      </w:pPr>
      <w:r w:rsidRPr="002C6731">
        <w:t>The academic staff member formally advises the Executive Dean of his/her intention to apply for equivalent standing.</w:t>
      </w:r>
    </w:p>
    <w:p w:rsidR="00BA2BE8" w:rsidRPr="002C6731" w:rsidRDefault="00C91EFB" w:rsidP="00ED2732">
      <w:pPr>
        <w:pStyle w:val="FedBody1013"/>
      </w:pPr>
      <w:r w:rsidRPr="002C6731">
        <w:t>The Executive Dean convenes a committee comprising the:</w:t>
      </w:r>
    </w:p>
    <w:p w:rsidR="00BA2BE8" w:rsidRPr="002C6731" w:rsidRDefault="00C91EFB" w:rsidP="00ED2732">
      <w:pPr>
        <w:pStyle w:val="FedBodyBulletIndent"/>
        <w:rPr>
          <w:rFonts w:eastAsia="Times New Roman"/>
        </w:rPr>
      </w:pPr>
      <w:r w:rsidRPr="002C6731">
        <w:rPr>
          <w:rFonts w:eastAsia="Times New Roman"/>
        </w:rPr>
        <w:t>Deputy Vice-Chancellor (Academic);</w:t>
      </w:r>
    </w:p>
    <w:p w:rsidR="00BA2BE8" w:rsidRPr="002C6731" w:rsidRDefault="00C91EFB" w:rsidP="00ED2732">
      <w:pPr>
        <w:pStyle w:val="FedBodyBulletIndent"/>
        <w:rPr>
          <w:rFonts w:eastAsia="Times New Roman"/>
        </w:rPr>
      </w:pPr>
      <w:r w:rsidRPr="002C6731">
        <w:rPr>
          <w:rFonts w:eastAsia="Times New Roman"/>
        </w:rPr>
        <w:t>Deputy Vice-Chancellor (Learning and Quality) or Deputy Vice-Chancellor (Research and Innovation); and</w:t>
      </w:r>
    </w:p>
    <w:p w:rsidR="00BA2BE8" w:rsidRPr="002C6731" w:rsidRDefault="00C91EFB" w:rsidP="00ED2732">
      <w:pPr>
        <w:pStyle w:val="FedBodyBulletIndent"/>
        <w:rPr>
          <w:rFonts w:eastAsia="Times New Roman"/>
        </w:rPr>
      </w:pPr>
      <w:r w:rsidRPr="002C6731">
        <w:rPr>
          <w:rFonts w:eastAsia="Times New Roman"/>
        </w:rPr>
        <w:t>Executive Dean (or nominee).</w:t>
      </w:r>
    </w:p>
    <w:p w:rsidR="00BA2BE8" w:rsidRPr="0077109B" w:rsidRDefault="00C91EFB" w:rsidP="00ED2732">
      <w:pPr>
        <w:pStyle w:val="FedBody1013"/>
        <w:rPr>
          <w:i/>
        </w:rPr>
      </w:pPr>
      <w:r w:rsidRPr="002C6731">
        <w:t xml:space="preserve">The committee will assess the application rigorously and fairly against the equivalence criteria as per </w:t>
      </w:r>
      <w:r w:rsidRPr="0077109B">
        <w:rPr>
          <w:b/>
        </w:rPr>
        <w:t>Criteria for Equivalent Standing</w:t>
      </w:r>
      <w:r w:rsidR="0077109B">
        <w:t xml:space="preserve"> (</w:t>
      </w:r>
      <w:r w:rsidRPr="002C6731">
        <w:t>above</w:t>
      </w:r>
      <w:r w:rsidR="0077109B">
        <w:t>)</w:t>
      </w:r>
      <w:r w:rsidRPr="002C6731">
        <w:t xml:space="preserve"> and in </w:t>
      </w:r>
      <w:r w:rsidRPr="0077109B">
        <w:rPr>
          <w:i/>
        </w:rPr>
        <w:t xml:space="preserve">conjunction with the </w:t>
      </w:r>
      <w:hyperlink r:id="rId8" w:tooltip="Link to Human Resources Workplace Agreements website" w:history="1">
        <w:r w:rsidR="003A09BA" w:rsidRPr="0077109B">
          <w:rPr>
            <w:rStyle w:val="Emphasis"/>
            <w:i w:val="0"/>
            <w:color w:val="0000FF"/>
            <w:u w:val="single"/>
          </w:rPr>
          <w:t>Minimum Standards for Academic Levels [Federation University Australia Union Collective Agreement (UCA) 2015–2018, Academic and General Staff Employees]</w:t>
        </w:r>
      </w:hyperlink>
      <w:r w:rsidRPr="0077109B">
        <w:rPr>
          <w:i/>
        </w:rPr>
        <w:t>.</w:t>
      </w:r>
    </w:p>
    <w:p w:rsidR="00BA2BE8" w:rsidRPr="002C6731" w:rsidRDefault="00C91EFB" w:rsidP="00ED2732">
      <w:pPr>
        <w:pStyle w:val="FedBody1013"/>
      </w:pPr>
      <w:r w:rsidRPr="002C6731">
        <w:t>If the application is successful, the applicant will be advised in writing by the Director, Human Resources of the outcome and a permanent record of equivalent standing will be lodged on the staff member’s personnel file.</w:t>
      </w:r>
    </w:p>
    <w:p w:rsidR="00BA2BE8" w:rsidRPr="002C6731" w:rsidRDefault="00C91EFB" w:rsidP="00ED2732">
      <w:pPr>
        <w:pStyle w:val="FedBody1013"/>
      </w:pPr>
      <w:r w:rsidRPr="002C6731">
        <w:t>If the application is unsuccessful, the applicant will be advised in writing by the Director, Human Resources and provided with a feedback interview for career planning purposes.</w:t>
      </w:r>
    </w:p>
    <w:p w:rsidR="00BA2BE8" w:rsidRPr="008E723C" w:rsidRDefault="00C91EFB" w:rsidP="00ED2732">
      <w:pPr>
        <w:pStyle w:val="FedL1Heading"/>
        <w:rPr>
          <w:rFonts w:eastAsia="Times New Roman"/>
        </w:rPr>
      </w:pPr>
      <w:bookmarkStart w:id="6" w:name="section_211407"/>
      <w:bookmarkEnd w:id="6"/>
      <w:r w:rsidRPr="008E723C">
        <w:rPr>
          <w:rFonts w:eastAsia="Times New Roman"/>
        </w:rPr>
        <w:lastRenderedPageBreak/>
        <w:t xml:space="preserve">Associated </w:t>
      </w:r>
      <w:r w:rsidR="00ED2732" w:rsidRPr="008E723C">
        <w:rPr>
          <w:rFonts w:eastAsia="Times New Roman"/>
        </w:rPr>
        <w:t xml:space="preserve">documents </w:t>
      </w:r>
    </w:p>
    <w:p w:rsidR="00BA2BE8" w:rsidRPr="002C6731" w:rsidRDefault="00C91EFB" w:rsidP="00ED2732">
      <w:pPr>
        <w:pStyle w:val="FedBodyBulletIndent"/>
        <w:rPr>
          <w:rFonts w:eastAsia="Times New Roman"/>
        </w:rPr>
      </w:pPr>
      <w:r w:rsidRPr="002C6731">
        <w:rPr>
          <w:rFonts w:eastAsia="Times New Roman"/>
        </w:rPr>
        <w:t>Academic Promotions (Higher Education) Policy.</w:t>
      </w:r>
    </w:p>
    <w:p w:rsidR="00BA2BE8" w:rsidRPr="002C6731" w:rsidRDefault="00C91EFB" w:rsidP="00ED2732">
      <w:pPr>
        <w:pStyle w:val="FedBodyBulletIndent"/>
        <w:rPr>
          <w:rFonts w:eastAsia="Times New Roman"/>
        </w:rPr>
      </w:pPr>
      <w:r w:rsidRPr="002C6731">
        <w:rPr>
          <w:rFonts w:eastAsia="Times New Roman"/>
        </w:rPr>
        <w:t>Academic Promotion for Level B Only (Higher Education) Procedure.</w:t>
      </w:r>
    </w:p>
    <w:p w:rsidR="00BA2BE8" w:rsidRPr="002C6731" w:rsidRDefault="00C91EFB" w:rsidP="00ED2732">
      <w:pPr>
        <w:pStyle w:val="FedBodyBulletIndent"/>
        <w:rPr>
          <w:rFonts w:eastAsia="Times New Roman"/>
        </w:rPr>
      </w:pPr>
      <w:r w:rsidRPr="002C6731">
        <w:rPr>
          <w:rFonts w:eastAsia="Times New Roman"/>
        </w:rPr>
        <w:t>Academic Promotion for Levels C, D and E (Higher Education) Procedure.</w:t>
      </w:r>
    </w:p>
    <w:p w:rsidR="00BA2BE8" w:rsidRDefault="00A905D8" w:rsidP="00ED2732">
      <w:pPr>
        <w:pStyle w:val="FedBodyBulletIndent"/>
        <w:rPr>
          <w:rFonts w:eastAsia="Times New Roman"/>
        </w:rPr>
      </w:pPr>
      <w:r>
        <w:rPr>
          <w:rFonts w:eastAsia="Times New Roman"/>
        </w:rPr>
        <w:t xml:space="preserve">Academic Promotion - </w:t>
      </w:r>
      <w:r w:rsidR="00C91EFB" w:rsidRPr="002C6731">
        <w:rPr>
          <w:rFonts w:eastAsia="Times New Roman"/>
        </w:rPr>
        <w:t xml:space="preserve">Generic </w:t>
      </w:r>
      <w:r w:rsidRPr="002C6731">
        <w:rPr>
          <w:rFonts w:eastAsia="Times New Roman"/>
        </w:rPr>
        <w:t xml:space="preserve">academic profiles </w:t>
      </w:r>
      <w:r w:rsidR="00C91EFB" w:rsidRPr="002C6731">
        <w:rPr>
          <w:rFonts w:eastAsia="Times New Roman"/>
        </w:rPr>
        <w:t xml:space="preserve">- Achievement at </w:t>
      </w:r>
      <w:r w:rsidRPr="002C6731">
        <w:rPr>
          <w:rFonts w:eastAsia="Times New Roman"/>
        </w:rPr>
        <w:t>prescribed academic levels guidelines</w:t>
      </w:r>
      <w:r w:rsidR="00C91EFB" w:rsidRPr="002C6731">
        <w:rPr>
          <w:rFonts w:eastAsia="Times New Roman"/>
        </w:rPr>
        <w:t>.</w:t>
      </w:r>
    </w:p>
    <w:p w:rsidR="0077109B" w:rsidRPr="002C6731" w:rsidRDefault="008E2F29" w:rsidP="00ED2732">
      <w:pPr>
        <w:pStyle w:val="FedBodyBulletIndent"/>
        <w:rPr>
          <w:rFonts w:eastAsia="Times New Roman"/>
        </w:rPr>
      </w:pPr>
      <w:hyperlink r:id="rId9" w:tooltip="Link to Human Resources Workplace Agreements website" w:history="1">
        <w:r w:rsidR="0077109B" w:rsidRPr="0077109B">
          <w:rPr>
            <w:rStyle w:val="Emphasis"/>
            <w:i w:val="0"/>
            <w:color w:val="0000FF"/>
            <w:u w:val="single"/>
          </w:rPr>
          <w:t>Minimum Standards for Academic Levels [Federation University Australia Union Collective Agreement (UCA) 2015–2018, Academic and General Staff Employees]</w:t>
        </w:r>
      </w:hyperlink>
      <w:r w:rsidR="0077109B" w:rsidRPr="0077109B">
        <w:rPr>
          <w:i/>
        </w:rPr>
        <w:t>.</w:t>
      </w:r>
    </w:p>
    <w:p w:rsidR="00BA2BE8" w:rsidRPr="008E723C" w:rsidRDefault="00C91EFB" w:rsidP="00ED2732">
      <w:pPr>
        <w:pStyle w:val="FedL1Heading"/>
        <w:rPr>
          <w:rFonts w:eastAsia="Times New Roman"/>
        </w:rPr>
      </w:pPr>
      <w:bookmarkStart w:id="7" w:name="section_211408"/>
      <w:bookmarkEnd w:id="7"/>
      <w:r w:rsidRPr="008E723C">
        <w:rPr>
          <w:rFonts w:eastAsia="Times New Roman"/>
        </w:rPr>
        <w:t>Implem</w:t>
      </w:r>
      <w:bookmarkStart w:id="8" w:name="_GoBack"/>
      <w:bookmarkEnd w:id="8"/>
      <w:r w:rsidRPr="008E723C">
        <w:rPr>
          <w:rFonts w:eastAsia="Times New Roman"/>
        </w:rPr>
        <w:t xml:space="preserve">entation </w:t>
      </w:r>
    </w:p>
    <w:p w:rsidR="00BA2BE8" w:rsidRPr="002C6731" w:rsidRDefault="00C91EFB" w:rsidP="00ED2732">
      <w:pPr>
        <w:pStyle w:val="FedBody1013"/>
      </w:pPr>
      <w:r w:rsidRPr="002C6731">
        <w:t>The Equivalent Accreditation and Standing for Academic Promotion Purposes Guidelines will be implemented throughout the University via:</w:t>
      </w:r>
    </w:p>
    <w:p w:rsidR="00BA2BE8" w:rsidRPr="002C6731" w:rsidRDefault="00C91EFB" w:rsidP="00ED2732">
      <w:pPr>
        <w:pStyle w:val="FedBodyBulletIndent"/>
        <w:rPr>
          <w:rFonts w:eastAsia="Times New Roman"/>
        </w:rPr>
      </w:pPr>
      <w:r w:rsidRPr="002C6731">
        <w:rPr>
          <w:rFonts w:eastAsia="Times New Roman"/>
        </w:rPr>
        <w:t>an Announcement Notice under ‘FedNews' on the website and through the University Policy - ‘Recently Approved Documents’ web page to alert the University-wide community of the approved Guideline; and</w:t>
      </w:r>
    </w:p>
    <w:p w:rsidR="00BA2BE8" w:rsidRPr="002C6731" w:rsidRDefault="00C91EFB" w:rsidP="00ED2732">
      <w:pPr>
        <w:pStyle w:val="FedBodyBulletIndent"/>
        <w:rPr>
          <w:rFonts w:eastAsia="Times New Roman"/>
        </w:rPr>
      </w:pPr>
      <w:r w:rsidRPr="002C6731">
        <w:rPr>
          <w:rFonts w:eastAsia="Times New Roman"/>
        </w:rPr>
        <w:t>inclusion on the University's online Policy Library.</w:t>
      </w:r>
    </w:p>
    <w:p w:rsidR="00C91EFB" w:rsidRDefault="00C91EFB">
      <w:pPr>
        <w:rPr>
          <w:rFonts w:ascii="Arial" w:eastAsia="Times New Roman" w:hAnsi="Arial" w:cs="Arial"/>
        </w:rPr>
      </w:pPr>
    </w:p>
    <w:sectPr w:rsidR="00C91EFB" w:rsidSect="0077109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418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5A" w:rsidRDefault="00B2215A" w:rsidP="00B2215A">
      <w:pPr>
        <w:spacing w:after="0" w:line="240" w:lineRule="auto"/>
      </w:pPr>
      <w:r>
        <w:separator/>
      </w:r>
    </w:p>
  </w:endnote>
  <w:endnote w:type="continuationSeparator" w:id="0">
    <w:p w:rsidR="00B2215A" w:rsidRDefault="00B2215A" w:rsidP="00B2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9B" w:rsidRDefault="0077109B" w:rsidP="0077109B">
    <w:pPr>
      <w:tabs>
        <w:tab w:val="right" w:pos="9354"/>
      </w:tabs>
      <w:spacing w:after="200" w:line="276" w:lineRule="auto"/>
      <w:rPr>
        <w:rFonts w:ascii="Arial" w:eastAsia="Times New Roman" w:hAnsi="Arial" w:cs="Times New Roman"/>
        <w:sz w:val="16"/>
        <w:szCs w:val="16"/>
        <w:lang w:eastAsia="zh-CN"/>
      </w:rPr>
    </w:pPr>
    <w:r w:rsidRPr="003A7302">
      <w:rPr>
        <w:rFonts w:ascii="Arial" w:eastAsia="Times New Roman" w:hAnsi="Arial" w:cs="Times New Roman"/>
        <w:noProof/>
      </w:rPr>
      <w:drawing>
        <wp:anchor distT="0" distB="0" distL="114300" distR="114300" simplePos="0" relativeHeight="251661312" behindDoc="1" locked="0" layoutInCell="1" allowOverlap="1" wp14:anchorId="0523A415" wp14:editId="435A7665">
          <wp:simplePos x="0" y="0"/>
          <wp:positionH relativeFrom="page">
            <wp:align>left</wp:align>
          </wp:positionH>
          <wp:positionV relativeFrom="page">
            <wp:posOffset>10006517</wp:posOffset>
          </wp:positionV>
          <wp:extent cx="7560310" cy="728134"/>
          <wp:effectExtent l="0" t="0" r="2540" b="0"/>
          <wp:wrapNone/>
          <wp:docPr id="13" name="Picture 13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8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7302">
      <w:rPr>
        <w:rFonts w:ascii="Arial" w:eastAsia="Times New Roman" w:hAnsi="Arial" w:cs="Times New Roman"/>
        <w:sz w:val="12"/>
        <w:lang w:eastAsia="zh-CN"/>
      </w:rPr>
      <w:t>CRICOS Provider No. 00103D</w:t>
    </w:r>
    <w:r>
      <w:rPr>
        <w:rFonts w:ascii="Arial" w:eastAsia="Times New Roman" w:hAnsi="Arial" w:cs="Times New Roman"/>
        <w:noProof/>
      </w:rPr>
      <w:tab/>
    </w:r>
    <w:sdt>
      <w:sdtPr>
        <w:rPr>
          <w:rFonts w:ascii="Arial" w:eastAsia="Times New Roman" w:hAnsi="Arial" w:cs="Times New Roman"/>
          <w:sz w:val="16"/>
          <w:szCs w:val="16"/>
          <w:lang w:eastAsia="zh-CN"/>
        </w:rPr>
        <w:id w:val="1787166929"/>
        <w:docPartObj>
          <w:docPartGallery w:val="Page Numbers (Top of Page)"/>
          <w:docPartUnique/>
        </w:docPartObj>
      </w:sdtPr>
      <w:sdtEndPr/>
      <w:sdtContent>
        <w:r w:rsidRPr="003A7302">
          <w:rPr>
            <w:rFonts w:ascii="Arial" w:eastAsia="Times New Roman" w:hAnsi="Arial" w:cs="Times New Roman"/>
            <w:sz w:val="16"/>
            <w:szCs w:val="16"/>
            <w:lang w:eastAsia="zh-CN"/>
          </w:rPr>
          <w:t xml:space="preserve">Page </w:t>
        </w:r>
        <w:r w:rsidRPr="003A7302">
          <w:rPr>
            <w:rFonts w:ascii="Arial" w:eastAsia="Times New Roman" w:hAnsi="Arial" w:cs="Times New Roman"/>
            <w:sz w:val="16"/>
            <w:szCs w:val="16"/>
            <w:lang w:eastAsia="zh-CN"/>
          </w:rPr>
          <w:fldChar w:fldCharType="begin"/>
        </w:r>
        <w:r w:rsidRPr="003A7302">
          <w:rPr>
            <w:rFonts w:ascii="Arial" w:eastAsia="Times New Roman" w:hAnsi="Arial" w:cs="Times New Roman"/>
            <w:sz w:val="16"/>
            <w:szCs w:val="16"/>
            <w:lang w:eastAsia="zh-CN"/>
          </w:rPr>
          <w:instrText xml:space="preserve"> PAGE </w:instrText>
        </w:r>
        <w:r w:rsidRPr="003A7302">
          <w:rPr>
            <w:rFonts w:ascii="Arial" w:eastAsia="Times New Roman" w:hAnsi="Arial" w:cs="Times New Roman"/>
            <w:sz w:val="16"/>
            <w:szCs w:val="16"/>
            <w:lang w:eastAsia="zh-CN"/>
          </w:rPr>
          <w:fldChar w:fldCharType="separate"/>
        </w:r>
        <w:r w:rsidR="008E2F29">
          <w:rPr>
            <w:rFonts w:ascii="Arial" w:eastAsia="Times New Roman" w:hAnsi="Arial" w:cs="Times New Roman"/>
            <w:noProof/>
            <w:sz w:val="16"/>
            <w:szCs w:val="16"/>
            <w:lang w:eastAsia="zh-CN"/>
          </w:rPr>
          <w:t>3</w:t>
        </w:r>
        <w:r w:rsidRPr="003A7302">
          <w:rPr>
            <w:rFonts w:ascii="Arial" w:eastAsia="Times New Roman" w:hAnsi="Arial" w:cs="Times New Roman"/>
            <w:sz w:val="16"/>
            <w:szCs w:val="16"/>
            <w:lang w:eastAsia="zh-CN"/>
          </w:rPr>
          <w:fldChar w:fldCharType="end"/>
        </w:r>
        <w:r w:rsidRPr="003A7302">
          <w:rPr>
            <w:rFonts w:ascii="Arial" w:eastAsia="Times New Roman" w:hAnsi="Arial" w:cs="Times New Roman"/>
            <w:sz w:val="16"/>
            <w:szCs w:val="16"/>
            <w:lang w:eastAsia="zh-CN"/>
          </w:rPr>
          <w:t xml:space="preserve"> of </w:t>
        </w:r>
        <w:r w:rsidRPr="003A7302">
          <w:rPr>
            <w:rFonts w:ascii="Arial" w:eastAsia="Times New Roman" w:hAnsi="Arial" w:cs="Times New Roman"/>
            <w:sz w:val="16"/>
            <w:szCs w:val="16"/>
            <w:lang w:eastAsia="zh-CN"/>
          </w:rPr>
          <w:fldChar w:fldCharType="begin"/>
        </w:r>
        <w:r w:rsidRPr="003A7302">
          <w:rPr>
            <w:rFonts w:ascii="Arial" w:eastAsia="Times New Roman" w:hAnsi="Arial" w:cs="Times New Roman"/>
            <w:sz w:val="16"/>
            <w:szCs w:val="16"/>
            <w:lang w:eastAsia="zh-CN"/>
          </w:rPr>
          <w:instrText xml:space="preserve"> NUMPAGES  </w:instrText>
        </w:r>
        <w:r w:rsidRPr="003A7302">
          <w:rPr>
            <w:rFonts w:ascii="Arial" w:eastAsia="Times New Roman" w:hAnsi="Arial" w:cs="Times New Roman"/>
            <w:sz w:val="16"/>
            <w:szCs w:val="16"/>
            <w:lang w:eastAsia="zh-CN"/>
          </w:rPr>
          <w:fldChar w:fldCharType="separate"/>
        </w:r>
        <w:r w:rsidR="008E2F29">
          <w:rPr>
            <w:rFonts w:ascii="Arial" w:eastAsia="Times New Roman" w:hAnsi="Arial" w:cs="Times New Roman"/>
            <w:noProof/>
            <w:sz w:val="16"/>
            <w:szCs w:val="16"/>
            <w:lang w:eastAsia="zh-CN"/>
          </w:rPr>
          <w:t>3</w:t>
        </w:r>
        <w:r w:rsidRPr="003A7302">
          <w:rPr>
            <w:rFonts w:ascii="Arial" w:eastAsia="Times New Roman" w:hAnsi="Arial" w:cs="Times New Roman"/>
            <w:sz w:val="16"/>
            <w:szCs w:val="16"/>
            <w:lang w:eastAsia="zh-CN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9B" w:rsidRDefault="0077109B" w:rsidP="0077109B">
    <w:pPr>
      <w:tabs>
        <w:tab w:val="right" w:pos="9354"/>
      </w:tabs>
      <w:spacing w:after="200" w:line="276" w:lineRule="auto"/>
    </w:pPr>
    <w:r w:rsidRPr="003A7302">
      <w:rPr>
        <w:rFonts w:ascii="Arial" w:eastAsia="Times New Roman" w:hAnsi="Arial" w:cs="Times New Roman"/>
        <w:noProof/>
      </w:rPr>
      <w:drawing>
        <wp:anchor distT="0" distB="0" distL="114300" distR="114300" simplePos="0" relativeHeight="251673600" behindDoc="1" locked="0" layoutInCell="1" allowOverlap="1" wp14:anchorId="48C2A838" wp14:editId="6EBC54F1">
          <wp:simplePos x="0" y="0"/>
          <wp:positionH relativeFrom="page">
            <wp:posOffset>-5080</wp:posOffset>
          </wp:positionH>
          <wp:positionV relativeFrom="page">
            <wp:posOffset>10000409</wp:posOffset>
          </wp:positionV>
          <wp:extent cx="7560310" cy="728134"/>
          <wp:effectExtent l="0" t="0" r="2540" b="0"/>
          <wp:wrapNone/>
          <wp:docPr id="16" name="Picture 16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8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7302">
      <w:rPr>
        <w:rFonts w:ascii="Arial" w:eastAsia="Times New Roman" w:hAnsi="Arial" w:cs="Times New Roman"/>
        <w:sz w:val="12"/>
        <w:lang w:eastAsia="zh-CN"/>
      </w:rPr>
      <w:t>CRICOS Provider No. 00103D</w:t>
    </w:r>
    <w:r>
      <w:rPr>
        <w:rFonts w:ascii="Arial" w:eastAsia="Times New Roman" w:hAnsi="Arial" w:cs="Times New Roman"/>
        <w:noProof/>
      </w:rPr>
      <w:tab/>
    </w:r>
    <w:sdt>
      <w:sdtPr>
        <w:rPr>
          <w:rFonts w:ascii="Arial" w:eastAsia="Times New Roman" w:hAnsi="Arial" w:cs="Times New Roman"/>
          <w:sz w:val="16"/>
          <w:szCs w:val="16"/>
          <w:lang w:eastAsia="zh-CN"/>
        </w:rPr>
        <w:id w:val="1055281735"/>
        <w:docPartObj>
          <w:docPartGallery w:val="Page Numbers (Top of Page)"/>
          <w:docPartUnique/>
        </w:docPartObj>
      </w:sdtPr>
      <w:sdtEndPr/>
      <w:sdtContent>
        <w:r w:rsidRPr="003A7302">
          <w:rPr>
            <w:rFonts w:ascii="Arial" w:eastAsia="Times New Roman" w:hAnsi="Arial" w:cs="Times New Roman"/>
            <w:sz w:val="16"/>
            <w:szCs w:val="16"/>
            <w:lang w:eastAsia="zh-CN"/>
          </w:rPr>
          <w:t xml:space="preserve">Page </w:t>
        </w:r>
        <w:r w:rsidRPr="003A7302">
          <w:rPr>
            <w:rFonts w:ascii="Arial" w:eastAsia="Times New Roman" w:hAnsi="Arial" w:cs="Times New Roman"/>
            <w:sz w:val="16"/>
            <w:szCs w:val="16"/>
            <w:lang w:eastAsia="zh-CN"/>
          </w:rPr>
          <w:fldChar w:fldCharType="begin"/>
        </w:r>
        <w:r w:rsidRPr="003A7302">
          <w:rPr>
            <w:rFonts w:ascii="Arial" w:eastAsia="Times New Roman" w:hAnsi="Arial" w:cs="Times New Roman"/>
            <w:sz w:val="16"/>
            <w:szCs w:val="16"/>
            <w:lang w:eastAsia="zh-CN"/>
          </w:rPr>
          <w:instrText xml:space="preserve"> PAGE </w:instrText>
        </w:r>
        <w:r w:rsidRPr="003A7302">
          <w:rPr>
            <w:rFonts w:ascii="Arial" w:eastAsia="Times New Roman" w:hAnsi="Arial" w:cs="Times New Roman"/>
            <w:sz w:val="16"/>
            <w:szCs w:val="16"/>
            <w:lang w:eastAsia="zh-CN"/>
          </w:rPr>
          <w:fldChar w:fldCharType="separate"/>
        </w:r>
        <w:r w:rsidR="008E2F29">
          <w:rPr>
            <w:rFonts w:ascii="Arial" w:eastAsia="Times New Roman" w:hAnsi="Arial" w:cs="Times New Roman"/>
            <w:noProof/>
            <w:sz w:val="16"/>
            <w:szCs w:val="16"/>
            <w:lang w:eastAsia="zh-CN"/>
          </w:rPr>
          <w:t>1</w:t>
        </w:r>
        <w:r w:rsidRPr="003A7302">
          <w:rPr>
            <w:rFonts w:ascii="Arial" w:eastAsia="Times New Roman" w:hAnsi="Arial" w:cs="Times New Roman"/>
            <w:sz w:val="16"/>
            <w:szCs w:val="16"/>
            <w:lang w:eastAsia="zh-CN"/>
          </w:rPr>
          <w:fldChar w:fldCharType="end"/>
        </w:r>
        <w:r w:rsidRPr="003A7302">
          <w:rPr>
            <w:rFonts w:ascii="Arial" w:eastAsia="Times New Roman" w:hAnsi="Arial" w:cs="Times New Roman"/>
            <w:sz w:val="16"/>
            <w:szCs w:val="16"/>
            <w:lang w:eastAsia="zh-CN"/>
          </w:rPr>
          <w:t xml:space="preserve"> of </w:t>
        </w:r>
        <w:r w:rsidRPr="003A7302">
          <w:rPr>
            <w:rFonts w:ascii="Arial" w:eastAsia="Times New Roman" w:hAnsi="Arial" w:cs="Times New Roman"/>
            <w:sz w:val="16"/>
            <w:szCs w:val="16"/>
            <w:lang w:eastAsia="zh-CN"/>
          </w:rPr>
          <w:fldChar w:fldCharType="begin"/>
        </w:r>
        <w:r w:rsidRPr="003A7302">
          <w:rPr>
            <w:rFonts w:ascii="Arial" w:eastAsia="Times New Roman" w:hAnsi="Arial" w:cs="Times New Roman"/>
            <w:sz w:val="16"/>
            <w:szCs w:val="16"/>
            <w:lang w:eastAsia="zh-CN"/>
          </w:rPr>
          <w:instrText xml:space="preserve"> NUMPAGES  </w:instrText>
        </w:r>
        <w:r w:rsidRPr="003A7302">
          <w:rPr>
            <w:rFonts w:ascii="Arial" w:eastAsia="Times New Roman" w:hAnsi="Arial" w:cs="Times New Roman"/>
            <w:sz w:val="16"/>
            <w:szCs w:val="16"/>
            <w:lang w:eastAsia="zh-CN"/>
          </w:rPr>
          <w:fldChar w:fldCharType="separate"/>
        </w:r>
        <w:r w:rsidR="008E2F29">
          <w:rPr>
            <w:rFonts w:ascii="Arial" w:eastAsia="Times New Roman" w:hAnsi="Arial" w:cs="Times New Roman"/>
            <w:noProof/>
            <w:sz w:val="16"/>
            <w:szCs w:val="16"/>
            <w:lang w:eastAsia="zh-CN"/>
          </w:rPr>
          <w:t>3</w:t>
        </w:r>
        <w:r w:rsidRPr="003A7302">
          <w:rPr>
            <w:rFonts w:ascii="Arial" w:eastAsia="Times New Roman" w:hAnsi="Arial" w:cs="Times New Roman"/>
            <w:sz w:val="16"/>
            <w:szCs w:val="16"/>
            <w:lang w:eastAsia="zh-C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5A" w:rsidRDefault="00B2215A" w:rsidP="00B2215A">
      <w:pPr>
        <w:spacing w:after="0" w:line="240" w:lineRule="auto"/>
      </w:pPr>
      <w:r>
        <w:separator/>
      </w:r>
    </w:p>
  </w:footnote>
  <w:footnote w:type="continuationSeparator" w:id="0">
    <w:p w:rsidR="00B2215A" w:rsidRDefault="00B2215A" w:rsidP="00B2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111"/>
    </w:tblGrid>
    <w:tr w:rsidR="0077109B" w:rsidRPr="0077109B" w:rsidTr="0077109B">
      <w:trPr>
        <w:trHeight w:val="993"/>
      </w:trPr>
      <w:tc>
        <w:tcPr>
          <w:tcW w:w="5529" w:type="dxa"/>
        </w:tcPr>
        <w:p w:rsidR="0077109B" w:rsidRPr="0077109B" w:rsidRDefault="0077109B" w:rsidP="00A905D8">
          <w:pPr>
            <w:tabs>
              <w:tab w:val="center" w:pos="4513"/>
              <w:tab w:val="right" w:pos="9026"/>
            </w:tabs>
            <w:rPr>
              <w:rFonts w:cs="Arial"/>
              <w:b/>
              <w:color w:val="004786"/>
              <w:sz w:val="20"/>
              <w:lang w:eastAsia="zh-CN"/>
            </w:rPr>
          </w:pPr>
          <w:r>
            <w:rPr>
              <w:rFonts w:cs="Arial"/>
              <w:b/>
              <w:color w:val="004786"/>
              <w:sz w:val="48"/>
              <w:szCs w:val="48"/>
              <w:lang w:eastAsia="zh-CN"/>
            </w:rPr>
            <w:t>Academic Promotion</w:t>
          </w:r>
        </w:p>
        <w:p w:rsidR="0077109B" w:rsidRPr="0077109B" w:rsidRDefault="0077109B" w:rsidP="0077109B">
          <w:pPr>
            <w:tabs>
              <w:tab w:val="center" w:pos="4513"/>
              <w:tab w:val="right" w:pos="9026"/>
            </w:tabs>
            <w:ind w:right="-252"/>
            <w:rPr>
              <w:rFonts w:cs="Arial"/>
              <w:sz w:val="24"/>
              <w:szCs w:val="24"/>
              <w:lang w:eastAsia="zh-CN"/>
            </w:rPr>
          </w:pPr>
          <w:r>
            <w:rPr>
              <w:rFonts w:cs="Arial"/>
              <w:color w:val="004786"/>
              <w:sz w:val="24"/>
              <w:szCs w:val="24"/>
              <w:lang w:eastAsia="zh-CN"/>
            </w:rPr>
            <w:t>Equivalent accreditation and standing guidelines</w:t>
          </w:r>
        </w:p>
      </w:tc>
      <w:tc>
        <w:tcPr>
          <w:tcW w:w="4111" w:type="dxa"/>
        </w:tcPr>
        <w:p w:rsidR="0077109B" w:rsidRPr="0077109B" w:rsidRDefault="0077109B" w:rsidP="0077109B">
          <w:pPr>
            <w:tabs>
              <w:tab w:val="center" w:pos="4513"/>
              <w:tab w:val="right" w:pos="9026"/>
            </w:tabs>
            <w:jc w:val="right"/>
            <w:rPr>
              <w:rFonts w:cs="Arial"/>
              <w:lang w:eastAsia="zh-CN"/>
            </w:rPr>
          </w:pPr>
          <w:r w:rsidRPr="0077109B">
            <w:rPr>
              <w:rFonts w:cs="Arial"/>
              <w:noProof/>
            </w:rPr>
            <w:drawing>
              <wp:anchor distT="0" distB="0" distL="114300" distR="114300" simplePos="0" relativeHeight="251669504" behindDoc="1" locked="0" layoutInCell="1" allowOverlap="1" wp14:anchorId="13C35756" wp14:editId="47FA3ED5">
                <wp:simplePos x="0" y="0"/>
                <wp:positionH relativeFrom="column">
                  <wp:posOffset>25194</wp:posOffset>
                </wp:positionH>
                <wp:positionV relativeFrom="page">
                  <wp:posOffset>49530</wp:posOffset>
                </wp:positionV>
                <wp:extent cx="2513330" cy="495300"/>
                <wp:effectExtent l="0" t="0" r="1270" b="0"/>
                <wp:wrapNone/>
                <wp:docPr id="12" name="Picture 12" descr="FedU_A4_10mm_REPORT_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dU_A4_10mm_REPORT_Blue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51333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7109B" w:rsidRPr="0077109B" w:rsidRDefault="0077109B" w:rsidP="0077109B">
    <w:pPr>
      <w:tabs>
        <w:tab w:val="center" w:pos="4513"/>
        <w:tab w:val="right" w:pos="9026"/>
      </w:tabs>
      <w:spacing w:after="120" w:line="240" w:lineRule="auto"/>
      <w:rPr>
        <w:rFonts w:ascii="Arial" w:eastAsia="Times New Roman" w:hAnsi="Arial" w:cs="Arial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111"/>
    </w:tblGrid>
    <w:tr w:rsidR="0077109B" w:rsidRPr="0077109B" w:rsidTr="00BB1819">
      <w:trPr>
        <w:trHeight w:val="993"/>
      </w:trPr>
      <w:tc>
        <w:tcPr>
          <w:tcW w:w="5529" w:type="dxa"/>
        </w:tcPr>
        <w:p w:rsidR="0077109B" w:rsidRPr="0077109B" w:rsidRDefault="0077109B" w:rsidP="00A905D8">
          <w:pPr>
            <w:tabs>
              <w:tab w:val="center" w:pos="4513"/>
              <w:tab w:val="right" w:pos="9026"/>
            </w:tabs>
            <w:rPr>
              <w:rFonts w:cs="Arial"/>
              <w:b/>
              <w:color w:val="004786"/>
              <w:sz w:val="20"/>
              <w:lang w:eastAsia="zh-CN"/>
            </w:rPr>
          </w:pPr>
          <w:r>
            <w:rPr>
              <w:rFonts w:cs="Arial"/>
              <w:b/>
              <w:color w:val="004786"/>
              <w:sz w:val="48"/>
              <w:szCs w:val="48"/>
              <w:lang w:eastAsia="zh-CN"/>
            </w:rPr>
            <w:t>Academic Promotion</w:t>
          </w:r>
        </w:p>
        <w:p w:rsidR="0077109B" w:rsidRPr="0077109B" w:rsidRDefault="0077109B" w:rsidP="0077109B">
          <w:pPr>
            <w:tabs>
              <w:tab w:val="center" w:pos="4513"/>
              <w:tab w:val="right" w:pos="9026"/>
            </w:tabs>
            <w:ind w:right="-252"/>
            <w:rPr>
              <w:rFonts w:cs="Arial"/>
              <w:sz w:val="24"/>
              <w:szCs w:val="24"/>
              <w:lang w:eastAsia="zh-CN"/>
            </w:rPr>
          </w:pPr>
          <w:r>
            <w:rPr>
              <w:rFonts w:cs="Arial"/>
              <w:color w:val="004786"/>
              <w:sz w:val="24"/>
              <w:szCs w:val="24"/>
              <w:lang w:eastAsia="zh-CN"/>
            </w:rPr>
            <w:t>Equivalent accreditation and standing guidelines</w:t>
          </w:r>
        </w:p>
      </w:tc>
      <w:tc>
        <w:tcPr>
          <w:tcW w:w="4111" w:type="dxa"/>
        </w:tcPr>
        <w:p w:rsidR="0077109B" w:rsidRPr="0077109B" w:rsidRDefault="0077109B" w:rsidP="0077109B">
          <w:pPr>
            <w:tabs>
              <w:tab w:val="center" w:pos="4513"/>
              <w:tab w:val="right" w:pos="9026"/>
            </w:tabs>
            <w:jc w:val="right"/>
            <w:rPr>
              <w:rFonts w:cs="Arial"/>
              <w:lang w:eastAsia="zh-CN"/>
            </w:rPr>
          </w:pPr>
          <w:r w:rsidRPr="0077109B">
            <w:rPr>
              <w:rFonts w:cs="Arial"/>
              <w:noProof/>
            </w:rPr>
            <w:drawing>
              <wp:anchor distT="0" distB="0" distL="114300" distR="114300" simplePos="0" relativeHeight="251671552" behindDoc="1" locked="0" layoutInCell="1" allowOverlap="1" wp14:anchorId="098F6CA6" wp14:editId="5E47C178">
                <wp:simplePos x="0" y="0"/>
                <wp:positionH relativeFrom="column">
                  <wp:posOffset>25194</wp:posOffset>
                </wp:positionH>
                <wp:positionV relativeFrom="page">
                  <wp:posOffset>49530</wp:posOffset>
                </wp:positionV>
                <wp:extent cx="2513330" cy="495300"/>
                <wp:effectExtent l="0" t="0" r="1270" b="0"/>
                <wp:wrapNone/>
                <wp:docPr id="14" name="Picture 14" descr="FedU_A4_10mm_REPORT_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dU_A4_10mm_REPORT_Blue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51333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7109B" w:rsidRPr="003A09BA" w:rsidRDefault="0077109B" w:rsidP="00ED2732">
    <w:pPr>
      <w:pStyle w:val="Header"/>
      <w:spacing w:after="0" w:line="240" w:lineRule="auto"/>
      <w:ind w:left="-425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291"/>
    <w:multiLevelType w:val="multilevel"/>
    <w:tmpl w:val="E530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8568A"/>
    <w:multiLevelType w:val="multilevel"/>
    <w:tmpl w:val="8686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C1E3C"/>
    <w:multiLevelType w:val="multilevel"/>
    <w:tmpl w:val="4A02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25EC6"/>
    <w:multiLevelType w:val="multilevel"/>
    <w:tmpl w:val="1D1E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1164E"/>
    <w:multiLevelType w:val="multilevel"/>
    <w:tmpl w:val="AB12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E293D"/>
    <w:multiLevelType w:val="multilevel"/>
    <w:tmpl w:val="6912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9217C"/>
    <w:multiLevelType w:val="multilevel"/>
    <w:tmpl w:val="A524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7311D"/>
    <w:multiLevelType w:val="multilevel"/>
    <w:tmpl w:val="B2E2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6D75BD3"/>
    <w:multiLevelType w:val="multilevel"/>
    <w:tmpl w:val="04F2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AF"/>
    <w:rsid w:val="00121AF5"/>
    <w:rsid w:val="0018062F"/>
    <w:rsid w:val="002C6731"/>
    <w:rsid w:val="003A09BA"/>
    <w:rsid w:val="003A7302"/>
    <w:rsid w:val="0077109B"/>
    <w:rsid w:val="008842AF"/>
    <w:rsid w:val="008E2F29"/>
    <w:rsid w:val="008E723C"/>
    <w:rsid w:val="009D6DC8"/>
    <w:rsid w:val="00A905D8"/>
    <w:rsid w:val="00AE19CC"/>
    <w:rsid w:val="00B2215A"/>
    <w:rsid w:val="00BA2BE8"/>
    <w:rsid w:val="00C91EFB"/>
    <w:rsid w:val="00ED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00CEFD6-00E5-4BE5-929D-4A16A6FA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2F"/>
  </w:style>
  <w:style w:type="paragraph" w:styleId="Heading1">
    <w:name w:val="heading 1"/>
    <w:basedOn w:val="Normal"/>
    <w:next w:val="Normal"/>
    <w:link w:val="Heading1Char"/>
    <w:uiPriority w:val="9"/>
    <w:qFormat/>
    <w:rsid w:val="0018062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6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6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06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6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6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6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6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6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18062F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8062F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styleId="Emphasis">
    <w:name w:val="Emphasis"/>
    <w:basedOn w:val="DefaultParagraphFont"/>
    <w:uiPriority w:val="20"/>
    <w:qFormat/>
    <w:rsid w:val="0018062F"/>
    <w:rPr>
      <w:i/>
      <w:iCs/>
    </w:rPr>
  </w:style>
  <w:style w:type="character" w:styleId="Strong">
    <w:name w:val="Strong"/>
    <w:basedOn w:val="DefaultParagraphFont"/>
    <w:uiPriority w:val="22"/>
    <w:qFormat/>
    <w:rsid w:val="001806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15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15A"/>
    <w:rPr>
      <w:rFonts w:eastAsiaTheme="minorEastAsia"/>
      <w:sz w:val="24"/>
      <w:szCs w:val="24"/>
    </w:rPr>
  </w:style>
  <w:style w:type="table" w:styleId="TableGrid">
    <w:name w:val="Table Grid"/>
    <w:aliases w:val="UB Table Grid"/>
    <w:basedOn w:val="TableNormal"/>
    <w:uiPriority w:val="59"/>
    <w:rsid w:val="009D6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8062F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62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62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62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62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62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62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062F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806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62F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62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8062F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1806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062F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06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62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62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8062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062F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8062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062F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062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62F"/>
    <w:pPr>
      <w:outlineLvl w:val="9"/>
    </w:pPr>
  </w:style>
  <w:style w:type="paragraph" w:customStyle="1" w:styleId="FedBody1013">
    <w:name w:val="Fed Body 10/13"/>
    <w:basedOn w:val="Normal"/>
    <w:qFormat/>
    <w:rsid w:val="00ED2732"/>
    <w:pPr>
      <w:spacing w:before="100" w:after="100" w:line="260" w:lineRule="exact"/>
      <w:ind w:right="-8"/>
    </w:pPr>
    <w:rPr>
      <w:rFonts w:ascii="Arial" w:hAnsi="Arial"/>
      <w:sz w:val="20"/>
      <w:lang w:eastAsia="zh-CN"/>
    </w:rPr>
  </w:style>
  <w:style w:type="character" w:customStyle="1" w:styleId="FedL1HeadingChar">
    <w:name w:val="Fed L1 Heading Char"/>
    <w:basedOn w:val="DefaultParagraphFont"/>
    <w:link w:val="FedL1Heading"/>
    <w:locked/>
    <w:rsid w:val="00ED2732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1Heading">
    <w:name w:val="Fed L1 Heading"/>
    <w:basedOn w:val="Heading1"/>
    <w:link w:val="FedL1HeadingChar"/>
    <w:qFormat/>
    <w:rsid w:val="00ED2732"/>
    <w:pPr>
      <w:spacing w:before="300" w:after="100" w:line="400" w:lineRule="exact"/>
    </w:pPr>
    <w:rPr>
      <w:rFonts w:ascii="Arial" w:hAnsi="Arial"/>
      <w:b/>
      <w:bCs/>
      <w:color w:val="004786"/>
      <w:sz w:val="32"/>
      <w:szCs w:val="32"/>
    </w:rPr>
  </w:style>
  <w:style w:type="character" w:customStyle="1" w:styleId="FedL2HeadChar">
    <w:name w:val="Fed L2 Head Char"/>
    <w:basedOn w:val="DefaultParagraphFont"/>
    <w:link w:val="FedL2Head"/>
    <w:locked/>
    <w:rsid w:val="00ED2732"/>
    <w:rPr>
      <w:rFonts w:ascii="Arial" w:eastAsia="MS Mincho" w:hAnsi="Arial" w:cs="Arial"/>
      <w:b/>
      <w:color w:val="006AAC"/>
      <w:sz w:val="28"/>
    </w:rPr>
  </w:style>
  <w:style w:type="paragraph" w:customStyle="1" w:styleId="FedL2Head">
    <w:name w:val="Fed L2 Head"/>
    <w:basedOn w:val="Heading2"/>
    <w:next w:val="FedBody1013"/>
    <w:link w:val="FedL2HeadChar"/>
    <w:qFormat/>
    <w:rsid w:val="00ED2732"/>
    <w:pPr>
      <w:spacing w:before="400" w:after="100" w:line="280" w:lineRule="exact"/>
    </w:pPr>
    <w:rPr>
      <w:rFonts w:ascii="Arial" w:eastAsia="MS Mincho" w:hAnsi="Arial" w:cs="Arial"/>
      <w:b/>
      <w:color w:val="006AAC"/>
      <w:szCs w:val="22"/>
    </w:rPr>
  </w:style>
  <w:style w:type="character" w:customStyle="1" w:styleId="FedL3HeadChar">
    <w:name w:val="Fed L3 Head Char"/>
    <w:basedOn w:val="DefaultParagraphFont"/>
    <w:link w:val="FedL3Head"/>
    <w:locked/>
    <w:rsid w:val="00ED2732"/>
    <w:rPr>
      <w:rFonts w:ascii="Arial" w:eastAsiaTheme="majorEastAsia" w:hAnsi="Arial" w:cstheme="majorBidi"/>
      <w:b/>
      <w:bCs/>
      <w:color w:val="5B9BD5" w:themeColor="accent1"/>
      <w:lang w:eastAsia="zh-CN"/>
    </w:rPr>
  </w:style>
  <w:style w:type="paragraph" w:customStyle="1" w:styleId="FedL3Head">
    <w:name w:val="Fed L3 Head"/>
    <w:basedOn w:val="Heading3"/>
    <w:next w:val="FedBody1013"/>
    <w:link w:val="FedL3HeadChar"/>
    <w:qFormat/>
    <w:rsid w:val="00ED2732"/>
    <w:pPr>
      <w:spacing w:before="300" w:line="280" w:lineRule="exact"/>
    </w:pPr>
    <w:rPr>
      <w:rFonts w:ascii="Arial" w:hAnsi="Arial"/>
      <w:b/>
      <w:bCs/>
      <w:color w:val="5B9BD5" w:themeColor="accent1"/>
      <w:sz w:val="22"/>
      <w:szCs w:val="22"/>
      <w:lang w:eastAsia="zh-CN"/>
    </w:rPr>
  </w:style>
  <w:style w:type="paragraph" w:customStyle="1" w:styleId="FedHeaderTable">
    <w:name w:val="Fed Header Table"/>
    <w:basedOn w:val="FedBody1013"/>
    <w:qFormat/>
    <w:rsid w:val="00ED2732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ED2732"/>
    <w:pPr>
      <w:numPr>
        <w:numId w:val="8"/>
      </w:numPr>
    </w:pPr>
  </w:style>
  <w:style w:type="table" w:customStyle="1" w:styleId="TableGrid1">
    <w:name w:val="Table Grid1"/>
    <w:basedOn w:val="TableNormal"/>
    <w:next w:val="TableGrid"/>
    <w:uiPriority w:val="59"/>
    <w:rsid w:val="0077109B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eration.edu.au/__data/assets/pdf_file/0011/277787/Federation-University-Australia-UCA-2015-2018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ederation.edu.au/__data/assets/pdf_file/0011/277787/Federation-University-Australia-UCA-2015-201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28E0-129F-4193-9D25-AC153289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5217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Doyle</dc:creator>
  <cp:keywords/>
  <dc:description/>
  <cp:lastModifiedBy>Camilla Barker</cp:lastModifiedBy>
  <cp:revision>2</cp:revision>
  <cp:lastPrinted>2016-12-15T21:46:00Z</cp:lastPrinted>
  <dcterms:created xsi:type="dcterms:W3CDTF">2016-12-15T21:47:00Z</dcterms:created>
  <dcterms:modified xsi:type="dcterms:W3CDTF">2016-12-15T21:47:00Z</dcterms:modified>
</cp:coreProperties>
</file>