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F9F7" w14:textId="77777777" w:rsidR="00152A4E" w:rsidRDefault="00152A4E"/>
    <w:p w14:paraId="559A6B85" w14:textId="77777777" w:rsidR="00BD2DE1" w:rsidRDefault="00BD2DE1" w:rsidP="00047C3B">
      <w:pPr>
        <w:spacing w:after="0" w:line="571" w:lineRule="exact"/>
        <w:ind w:right="-20"/>
        <w:rPr>
          <w:rFonts w:eastAsia="Arial" w:cs="Arial"/>
          <w:sz w:val="50"/>
          <w:szCs w:val="50"/>
        </w:rPr>
      </w:pPr>
      <w:r>
        <w:rPr>
          <w:rFonts w:eastAsia="Arial" w:cs="Arial"/>
          <w:b/>
          <w:bCs/>
          <w:color w:val="005496"/>
          <w:position w:val="-1"/>
          <w:sz w:val="50"/>
          <w:szCs w:val="50"/>
        </w:rPr>
        <w:t>Policy</w:t>
      </w:r>
      <w:r w:rsidR="007912C9">
        <w:rPr>
          <w:rFonts w:eastAsia="Arial" w:cs="Arial"/>
          <w:b/>
          <w:bCs/>
          <w:color w:val="005496"/>
          <w:position w:val="-1"/>
          <w:sz w:val="50"/>
          <w:szCs w:val="50"/>
        </w:rPr>
        <w:t xml:space="preserve"> and Procedure Checklist</w:t>
      </w:r>
    </w:p>
    <w:p w14:paraId="201BB1A6" w14:textId="77777777" w:rsidR="00047C3B" w:rsidRDefault="00047C3B" w:rsidP="00047C3B">
      <w:pPr>
        <w:spacing w:after="0" w:line="200" w:lineRule="exact"/>
        <w:rPr>
          <w:i/>
          <w:szCs w:val="20"/>
        </w:rPr>
      </w:pPr>
    </w:p>
    <w:p w14:paraId="617AE919" w14:textId="77777777" w:rsidR="00167F43" w:rsidRDefault="00167F43" w:rsidP="00047C3B">
      <w:pPr>
        <w:spacing w:after="0" w:line="200" w:lineRule="exact"/>
        <w:rPr>
          <w:szCs w:val="20"/>
        </w:rPr>
      </w:pPr>
    </w:p>
    <w:p w14:paraId="434D3BF9" w14:textId="77777777" w:rsidR="00047C3B" w:rsidRDefault="00E53788" w:rsidP="00047C3B">
      <w:pPr>
        <w:spacing w:after="0" w:line="200" w:lineRule="exact"/>
        <w:rPr>
          <w:szCs w:val="20"/>
        </w:rPr>
      </w:pPr>
      <w:r>
        <w:rPr>
          <w:szCs w:val="20"/>
        </w:rPr>
        <w:t>Both</w:t>
      </w:r>
      <w:r w:rsidR="00047C3B" w:rsidRPr="00E53788">
        <w:rPr>
          <w:szCs w:val="20"/>
        </w:rPr>
        <w:t xml:space="preserve"> Policy and Procedure are mandated documents</w:t>
      </w:r>
      <w:r>
        <w:rPr>
          <w:szCs w:val="20"/>
        </w:rPr>
        <w:t>. G</w:t>
      </w:r>
      <w:r w:rsidR="00047C3B" w:rsidRPr="00E53788">
        <w:rPr>
          <w:szCs w:val="20"/>
        </w:rPr>
        <w:t>uidel</w:t>
      </w:r>
      <w:r>
        <w:rPr>
          <w:szCs w:val="20"/>
        </w:rPr>
        <w:t>ines, instructions or handbooks, on the other hand, are not.</w:t>
      </w:r>
    </w:p>
    <w:p w14:paraId="05029BC6" w14:textId="77777777" w:rsidR="00E53788" w:rsidRPr="00E53788" w:rsidRDefault="00E53788" w:rsidP="00047C3B">
      <w:pPr>
        <w:spacing w:after="0" w:line="200" w:lineRule="exact"/>
        <w:rPr>
          <w:szCs w:val="20"/>
        </w:rPr>
      </w:pPr>
    </w:p>
    <w:p w14:paraId="501EA603" w14:textId="77777777" w:rsidR="00047C3B" w:rsidRDefault="00047C3B" w:rsidP="00047C3B">
      <w:pPr>
        <w:spacing w:after="0" w:line="200" w:lineRule="exact"/>
        <w:rPr>
          <w:szCs w:val="20"/>
        </w:rPr>
      </w:pPr>
      <w:r w:rsidRPr="00E53788">
        <w:rPr>
          <w:szCs w:val="20"/>
        </w:rPr>
        <w:t xml:space="preserve">A Policy </w:t>
      </w:r>
      <w:r w:rsidR="00007163" w:rsidRPr="00E53788">
        <w:rPr>
          <w:szCs w:val="20"/>
        </w:rPr>
        <w:t xml:space="preserve">(usually less than 6 pages) </w:t>
      </w:r>
      <w:r w:rsidRPr="00E53788">
        <w:rPr>
          <w:szCs w:val="20"/>
        </w:rPr>
        <w:t xml:space="preserve">is a </w:t>
      </w:r>
      <w:r w:rsidR="00007163" w:rsidRPr="00E53788">
        <w:rPr>
          <w:szCs w:val="20"/>
        </w:rPr>
        <w:t xml:space="preserve">formal statement of </w:t>
      </w:r>
      <w:r w:rsidRPr="00E53788">
        <w:rPr>
          <w:szCs w:val="20"/>
        </w:rPr>
        <w:t xml:space="preserve">principle </w:t>
      </w:r>
      <w:r w:rsidR="00007163" w:rsidRPr="00E53788">
        <w:rPr>
          <w:szCs w:val="20"/>
        </w:rPr>
        <w:t>consistent with relevant legislation, and University Statutes and Regulations, that regulates, directs and controls</w:t>
      </w:r>
      <w:r w:rsidRPr="00E53788">
        <w:rPr>
          <w:szCs w:val="20"/>
        </w:rPr>
        <w:t xml:space="preserve"> </w:t>
      </w:r>
      <w:r w:rsidR="00007163" w:rsidRPr="00E53788">
        <w:rPr>
          <w:szCs w:val="20"/>
        </w:rPr>
        <w:t>University-wide operations</w:t>
      </w:r>
      <w:r w:rsidR="00053F37" w:rsidRPr="00E53788">
        <w:rPr>
          <w:szCs w:val="20"/>
        </w:rPr>
        <w:t xml:space="preserve"> and is formally reviewed every five years</w:t>
      </w:r>
      <w:r w:rsidR="00E53788">
        <w:rPr>
          <w:szCs w:val="20"/>
        </w:rPr>
        <w:t>.</w:t>
      </w:r>
    </w:p>
    <w:p w14:paraId="42D3ABF0" w14:textId="77777777" w:rsidR="00E53788" w:rsidRPr="00E53788" w:rsidRDefault="00E53788" w:rsidP="00047C3B">
      <w:pPr>
        <w:spacing w:after="0" w:line="200" w:lineRule="exact"/>
        <w:rPr>
          <w:szCs w:val="20"/>
        </w:rPr>
      </w:pPr>
    </w:p>
    <w:p w14:paraId="4D77F0C6" w14:textId="77777777" w:rsidR="00047C3B" w:rsidRPr="00E53788" w:rsidRDefault="00047C3B" w:rsidP="00047C3B">
      <w:pPr>
        <w:spacing w:after="0" w:line="200" w:lineRule="exact"/>
        <w:rPr>
          <w:szCs w:val="20"/>
        </w:rPr>
      </w:pPr>
      <w:r w:rsidRPr="00E53788">
        <w:rPr>
          <w:szCs w:val="20"/>
        </w:rPr>
        <w:t xml:space="preserve">A Procedure </w:t>
      </w:r>
      <w:r w:rsidR="00007163" w:rsidRPr="00E53788">
        <w:rPr>
          <w:szCs w:val="20"/>
        </w:rPr>
        <w:t xml:space="preserve">(usually more than 6 pages) </w:t>
      </w:r>
      <w:r w:rsidRPr="00E53788">
        <w:rPr>
          <w:szCs w:val="20"/>
        </w:rPr>
        <w:t xml:space="preserve">outlines a series of Actions, Activities and Steps </w:t>
      </w:r>
      <w:r w:rsidR="00007163" w:rsidRPr="00E53788">
        <w:rPr>
          <w:szCs w:val="20"/>
        </w:rPr>
        <w:t xml:space="preserve">required </w:t>
      </w:r>
      <w:r w:rsidRPr="00E53788">
        <w:rPr>
          <w:szCs w:val="20"/>
        </w:rPr>
        <w:t xml:space="preserve">(and by whom) to </w:t>
      </w:r>
      <w:r w:rsidR="00007163" w:rsidRPr="00E53788">
        <w:rPr>
          <w:szCs w:val="20"/>
        </w:rPr>
        <w:t>implement</w:t>
      </w:r>
      <w:r w:rsidRPr="00E53788">
        <w:rPr>
          <w:szCs w:val="20"/>
        </w:rPr>
        <w:t xml:space="preserve"> the Policy</w:t>
      </w:r>
      <w:r w:rsidR="00007163" w:rsidRPr="00E53788">
        <w:rPr>
          <w:szCs w:val="20"/>
        </w:rPr>
        <w:t xml:space="preserve"> across the University</w:t>
      </w:r>
      <w:r w:rsidR="00053F37" w:rsidRPr="00E53788">
        <w:rPr>
          <w:szCs w:val="20"/>
        </w:rPr>
        <w:t xml:space="preserve"> and is formally reviewed every three years</w:t>
      </w:r>
      <w:r w:rsidRPr="00E53788">
        <w:rPr>
          <w:szCs w:val="20"/>
        </w:rPr>
        <w:t>.</w:t>
      </w:r>
      <w:r w:rsidR="00007163" w:rsidRPr="00E53788">
        <w:rPr>
          <w:szCs w:val="20"/>
        </w:rPr>
        <w:t xml:space="preserve"> All procedures relate to </w:t>
      </w:r>
      <w:r w:rsidR="00053F37" w:rsidRPr="00E53788">
        <w:rPr>
          <w:szCs w:val="20"/>
        </w:rPr>
        <w:t>and are consistent with the P</w:t>
      </w:r>
      <w:r w:rsidR="00007163" w:rsidRPr="00E53788">
        <w:rPr>
          <w:szCs w:val="20"/>
        </w:rPr>
        <w:t>olicy to which they refer.</w:t>
      </w:r>
    </w:p>
    <w:p w14:paraId="0D5CCCED" w14:textId="77777777" w:rsidR="00BD2DE1" w:rsidRDefault="00BD2DE1"/>
    <w:p w14:paraId="3C2E5047" w14:textId="77777777" w:rsidR="00E53788" w:rsidRDefault="00E53788">
      <w:r>
        <w:t>Together they are used to define and implement the standards</w:t>
      </w:r>
      <w:r w:rsidR="00167F43">
        <w:t>,</w:t>
      </w:r>
      <w:r>
        <w:t xml:space="preserve"> goals</w:t>
      </w:r>
      <w:r w:rsidR="00167F43">
        <w:t xml:space="preserve"> and strategic priorities</w:t>
      </w:r>
      <w:r>
        <w:t xml:space="preserve"> </w:t>
      </w:r>
      <w:r w:rsidR="00167F43">
        <w:t>guiding development of</w:t>
      </w:r>
      <w:r>
        <w:t xml:space="preserve"> Federation University Australia by ensuring compliance</w:t>
      </w:r>
      <w:r w:rsidR="00167F43">
        <w:t xml:space="preserve"> and providing structure for decision-making while reducing risk.</w:t>
      </w:r>
      <w:r>
        <w:t xml:space="preserve"> </w:t>
      </w:r>
    </w:p>
    <w:p w14:paraId="57CA85C3" w14:textId="77777777" w:rsidR="00BD2DE1" w:rsidRPr="00007163" w:rsidRDefault="00BD2DE1" w:rsidP="00BD2DE1">
      <w:pPr>
        <w:spacing w:after="0"/>
        <w:ind w:right="-20"/>
        <w:rPr>
          <w:rFonts w:eastAsia="Arial" w:cs="Arial"/>
          <w:b/>
          <w:bCs/>
          <w:color w:val="007BC3"/>
          <w:szCs w:val="20"/>
        </w:rPr>
      </w:pPr>
    </w:p>
    <w:p w14:paraId="0F7A7F1B" w14:textId="77777777" w:rsidR="00BD2DE1" w:rsidRDefault="00BD2DE1" w:rsidP="00302AFF">
      <w:pPr>
        <w:pStyle w:val="Heading1"/>
        <w:rPr>
          <w:rFonts w:eastAsia="Arial"/>
        </w:rPr>
      </w:pPr>
      <w:bookmarkStart w:id="0" w:name="_Toc443478580"/>
      <w:r>
        <w:rPr>
          <w:rFonts w:eastAsia="Arial"/>
        </w:rPr>
        <w:t>P</w:t>
      </w:r>
      <w:r w:rsidR="00167F43">
        <w:rPr>
          <w:rFonts w:eastAsia="Arial"/>
        </w:rPr>
        <w:t>olicy vs Procedure</w:t>
      </w:r>
      <w:bookmarkEnd w:id="0"/>
      <w:r>
        <w:rPr>
          <w:rFonts w:eastAsia="Arial"/>
        </w:rPr>
        <w:t xml:space="preserve"> </w:t>
      </w:r>
    </w:p>
    <w:p w14:paraId="696AEC8C" w14:textId="77777777" w:rsidR="00167F43" w:rsidRDefault="00167F43" w:rsidP="00167F43"/>
    <w:p w14:paraId="4601AA79" w14:textId="77777777" w:rsidR="00167F43" w:rsidRPr="00167F43" w:rsidRDefault="00167F43" w:rsidP="00167F43">
      <w:r>
        <w:t>Which document? The following is a guide to assist staff in deciding the correct document format</w:t>
      </w:r>
      <w:r w:rsidR="00D84CEB">
        <w:t xml:space="preserve"> for development</w:t>
      </w:r>
      <w:r>
        <w:t xml:space="preserve">. </w:t>
      </w:r>
    </w:p>
    <w:p w14:paraId="48F5C836" w14:textId="77777777" w:rsidR="00BD2DE1" w:rsidRDefault="00BD2DE1" w:rsidP="00BD2DE1">
      <w:pPr>
        <w:spacing w:after="0"/>
        <w:ind w:left="110" w:right="-20"/>
        <w:rPr>
          <w:rFonts w:eastAsia="Arial" w:cs="Arial"/>
          <w:bCs/>
          <w:color w:val="007BC3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7F43" w14:paraId="08D4DCC6" w14:textId="77777777" w:rsidTr="00167F43">
        <w:tc>
          <w:tcPr>
            <w:tcW w:w="5228" w:type="dxa"/>
          </w:tcPr>
          <w:p w14:paraId="180E9ACF" w14:textId="77777777" w:rsidR="00167F43" w:rsidRDefault="00167F43" w:rsidP="00167F43">
            <w:pPr>
              <w:pStyle w:val="Heading2"/>
              <w:rPr>
                <w:rFonts w:eastAsia="Arial"/>
              </w:rPr>
            </w:pPr>
            <w:r>
              <w:rPr>
                <w:rFonts w:eastAsia="Arial"/>
              </w:rPr>
              <w:t>Policy</w:t>
            </w:r>
          </w:p>
        </w:tc>
        <w:tc>
          <w:tcPr>
            <w:tcW w:w="5228" w:type="dxa"/>
          </w:tcPr>
          <w:p w14:paraId="0355ACDA" w14:textId="77777777" w:rsidR="00167F43" w:rsidRDefault="00167F43" w:rsidP="00167F43">
            <w:pPr>
              <w:pStyle w:val="Heading2"/>
              <w:rPr>
                <w:rFonts w:eastAsia="Arial"/>
              </w:rPr>
            </w:pPr>
            <w:r>
              <w:rPr>
                <w:rFonts w:eastAsia="Arial"/>
              </w:rPr>
              <w:t>Procedure</w:t>
            </w:r>
          </w:p>
        </w:tc>
      </w:tr>
      <w:tr w:rsidR="00167F43" w14:paraId="7548A6A2" w14:textId="77777777" w:rsidTr="004D7360">
        <w:trPr>
          <w:trHeight w:val="540"/>
        </w:trPr>
        <w:tc>
          <w:tcPr>
            <w:tcW w:w="5228" w:type="dxa"/>
            <w:vAlign w:val="center"/>
          </w:tcPr>
          <w:p w14:paraId="69264688" w14:textId="77777777" w:rsidR="00167F43" w:rsidRDefault="00167F43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content will not frequently change</w:t>
            </w:r>
          </w:p>
        </w:tc>
        <w:tc>
          <w:tcPr>
            <w:tcW w:w="5228" w:type="dxa"/>
            <w:vAlign w:val="center"/>
          </w:tcPr>
          <w:p w14:paraId="7C6CCEDB" w14:textId="77777777" w:rsidR="00167F43" w:rsidRDefault="00167F43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content may change frequently as new processes are implemented or new technologies emerge</w:t>
            </w:r>
          </w:p>
        </w:tc>
      </w:tr>
      <w:tr w:rsidR="00167F43" w14:paraId="1BEC0751" w14:textId="77777777" w:rsidTr="004D7360">
        <w:trPr>
          <w:trHeight w:val="773"/>
        </w:trPr>
        <w:tc>
          <w:tcPr>
            <w:tcW w:w="5228" w:type="dxa"/>
            <w:vAlign w:val="center"/>
          </w:tcPr>
          <w:p w14:paraId="7F2D9773" w14:textId="77777777" w:rsidR="00167F43" w:rsidRDefault="005A2E98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purpose is to provide guidance for operational decision-making or mandate a standard of behaviour</w:t>
            </w:r>
          </w:p>
        </w:tc>
        <w:tc>
          <w:tcPr>
            <w:tcW w:w="5228" w:type="dxa"/>
            <w:vAlign w:val="center"/>
          </w:tcPr>
          <w:p w14:paraId="131807B3" w14:textId="77777777" w:rsidR="00167F43" w:rsidRDefault="005A2E98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purpose is to prescribe a course of action through a series of activities and steps with allocated responsibilities</w:t>
            </w:r>
          </w:p>
        </w:tc>
      </w:tr>
      <w:tr w:rsidR="00167F43" w14:paraId="083EBF8C" w14:textId="77777777" w:rsidTr="004D7360">
        <w:trPr>
          <w:trHeight w:val="783"/>
        </w:trPr>
        <w:tc>
          <w:tcPr>
            <w:tcW w:w="5228" w:type="dxa"/>
            <w:vAlign w:val="center"/>
          </w:tcPr>
          <w:p w14:paraId="48E16520" w14:textId="77777777" w:rsidR="00167F43" w:rsidRDefault="005A2E98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stated provisions or principles provide an over-arching approach to an issue</w:t>
            </w:r>
          </w:p>
        </w:tc>
        <w:tc>
          <w:tcPr>
            <w:tcW w:w="5228" w:type="dxa"/>
            <w:vAlign w:val="center"/>
          </w:tcPr>
          <w:p w14:paraId="09F14708" w14:textId="77777777" w:rsidR="00167F43" w:rsidRDefault="005A2E98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outlined provisions describe the required actions through a series of activities with the position/s responsible for undertaking the steps for each activity</w:t>
            </w:r>
          </w:p>
        </w:tc>
      </w:tr>
      <w:tr w:rsidR="00167F43" w14:paraId="351878D7" w14:textId="77777777" w:rsidTr="004D7360">
        <w:trPr>
          <w:trHeight w:val="368"/>
        </w:trPr>
        <w:tc>
          <w:tcPr>
            <w:tcW w:w="5228" w:type="dxa"/>
            <w:vAlign w:val="center"/>
          </w:tcPr>
          <w:p w14:paraId="6A4715D4" w14:textId="77777777" w:rsidR="00167F43" w:rsidRDefault="005A2E98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document outlines a general position</w:t>
            </w:r>
          </w:p>
        </w:tc>
        <w:tc>
          <w:tcPr>
            <w:tcW w:w="5228" w:type="dxa"/>
            <w:vAlign w:val="center"/>
          </w:tcPr>
          <w:p w14:paraId="441D5A28" w14:textId="77777777" w:rsidR="00167F43" w:rsidRDefault="005A2E98" w:rsidP="004D7360">
            <w:pPr>
              <w:spacing w:after="0"/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The document outlines the implementation of an issue</w:t>
            </w:r>
          </w:p>
        </w:tc>
      </w:tr>
    </w:tbl>
    <w:p w14:paraId="06E08E73" w14:textId="77777777" w:rsidR="00007163" w:rsidRDefault="00007163" w:rsidP="00007163">
      <w:pPr>
        <w:spacing w:after="0"/>
        <w:rPr>
          <w:rFonts w:eastAsia="Arial" w:cs="Arial"/>
          <w:bCs/>
          <w:szCs w:val="20"/>
        </w:rPr>
      </w:pPr>
    </w:p>
    <w:p w14:paraId="6FC58A0C" w14:textId="77777777" w:rsidR="009265D1" w:rsidRPr="00007163" w:rsidRDefault="009265D1" w:rsidP="00007163">
      <w:pPr>
        <w:spacing w:after="0"/>
        <w:rPr>
          <w:rFonts w:eastAsia="Arial" w:cs="Arial"/>
          <w:bCs/>
          <w:szCs w:val="20"/>
        </w:rPr>
      </w:pPr>
    </w:p>
    <w:p w14:paraId="084DD803" w14:textId="77777777" w:rsidR="00D84CEB" w:rsidRDefault="00D84CEB" w:rsidP="00D84CEB">
      <w:pPr>
        <w:pStyle w:val="Heading2"/>
        <w:rPr>
          <w:rFonts w:eastAsia="Arial"/>
        </w:rPr>
      </w:pPr>
      <w:bookmarkStart w:id="1" w:name="_Toc443478583"/>
      <w:r>
        <w:rPr>
          <w:rFonts w:eastAsia="Arial"/>
        </w:rPr>
        <w:t>Content Checklist – Is the policy</w:t>
      </w:r>
      <w:r w:rsidR="00996235">
        <w:rPr>
          <w:rFonts w:eastAsia="Arial"/>
        </w:rPr>
        <w:t>?</w:t>
      </w:r>
    </w:p>
    <w:p w14:paraId="2D64A310" w14:textId="77777777" w:rsidR="00D84CEB" w:rsidRDefault="00D84CEB" w:rsidP="00D84CEB"/>
    <w:p w14:paraId="08D06A97" w14:textId="77777777" w:rsidR="00996235" w:rsidRDefault="00D84CEB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University-wide in its audience and application?</w:t>
      </w:r>
    </w:p>
    <w:p w14:paraId="3E95EB29" w14:textId="77777777" w:rsidR="00DB4388" w:rsidRDefault="00DB4388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 formal statement of principle?</w:t>
      </w:r>
    </w:p>
    <w:p w14:paraId="186B689A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Succinct and over-arching?</w:t>
      </w:r>
    </w:p>
    <w:p w14:paraId="6B989437" w14:textId="77777777" w:rsidR="00D11BCF" w:rsidRDefault="00D11BCF" w:rsidP="00D11BCF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Accompanied by an appropriate procedure/s</w:t>
      </w:r>
      <w:r w:rsidR="009A6305">
        <w:t xml:space="preserve"> able to implement the policy</w:t>
      </w:r>
      <w:r>
        <w:t>?</w:t>
      </w:r>
    </w:p>
    <w:p w14:paraId="577AEBA1" w14:textId="77777777" w:rsidR="00D11BCF" w:rsidRDefault="00D11BCF" w:rsidP="00D11BCF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Easy to read and understand</w:t>
      </w:r>
      <w:r w:rsidR="00662DEB">
        <w:t xml:space="preserve"> (in layout and grammatical construction)</w:t>
      </w:r>
      <w:r>
        <w:t>?</w:t>
      </w:r>
    </w:p>
    <w:p w14:paraId="21AE5DD3" w14:textId="77777777" w:rsidR="00D11BCF" w:rsidRDefault="00D11BCF" w:rsidP="00D11BCF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Approved, regulated or monitored by the appropriate authorities?</w:t>
      </w:r>
    </w:p>
    <w:p w14:paraId="3952356E" w14:textId="77777777" w:rsidR="00D11BCF" w:rsidRDefault="00D11BCF" w:rsidP="00D11BCF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R</w:t>
      </w:r>
      <w:r w:rsidR="00A919D5">
        <w:t>easonable, realistic and r</w:t>
      </w:r>
      <w:r>
        <w:t>obust?</w:t>
      </w:r>
    </w:p>
    <w:p w14:paraId="21D88545" w14:textId="77777777" w:rsidR="009A6305" w:rsidRDefault="009A6305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Broad enough to meet across</w:t>
      </w:r>
      <w:r w:rsidR="00662DEB">
        <w:t>-</w:t>
      </w:r>
      <w:r>
        <w:t xml:space="preserve"> University</w:t>
      </w:r>
      <w:r w:rsidR="00662DEB" w:rsidRPr="00662DEB">
        <w:t xml:space="preserve"> </w:t>
      </w:r>
      <w:r w:rsidR="00662DEB">
        <w:t>needs</w:t>
      </w:r>
      <w:r>
        <w:t>?</w:t>
      </w:r>
    </w:p>
    <w:p w14:paraId="0A7D6669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Consistent with the University’s guiding principles, charter and strategic plan?</w:t>
      </w:r>
    </w:p>
    <w:p w14:paraId="07CE826B" w14:textId="77777777" w:rsidR="00996235" w:rsidRDefault="00D84CEB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Correctly based on, and consistent with proper legal authority?</w:t>
      </w:r>
    </w:p>
    <w:p w14:paraId="186E0629" w14:textId="77777777" w:rsidR="004D7360" w:rsidRDefault="00D84CEB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Ethical, accountable, consistent and professional to the standards expected within the University?</w:t>
      </w:r>
    </w:p>
    <w:p w14:paraId="4FEF0AB7" w14:textId="77777777" w:rsidR="004D7360" w:rsidRDefault="004D7360">
      <w:pPr>
        <w:widowControl/>
        <w:spacing w:after="160" w:line="259" w:lineRule="auto"/>
      </w:pPr>
      <w:r>
        <w:br w:type="page"/>
      </w:r>
    </w:p>
    <w:p w14:paraId="207AF4AF" w14:textId="77777777" w:rsidR="00996235" w:rsidRDefault="00996235" w:rsidP="004D7360">
      <w:pPr>
        <w:pStyle w:val="ListParagraph"/>
        <w:ind w:left="567"/>
        <w:contextualSpacing w:val="0"/>
      </w:pPr>
    </w:p>
    <w:p w14:paraId="2809AE20" w14:textId="77777777" w:rsidR="00996235" w:rsidRDefault="00D84CEB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Consistent with relevant external codes of practice or standards?</w:t>
      </w:r>
    </w:p>
    <w:p w14:paraId="1669BF38" w14:textId="77777777" w:rsidR="00996235" w:rsidRDefault="00996235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Consistent with state and federal legislation?</w:t>
      </w:r>
    </w:p>
    <w:p w14:paraId="71D986A8" w14:textId="77777777" w:rsidR="00996235" w:rsidRDefault="00D84CEB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Consistent with relevant legislation in other countries</w:t>
      </w:r>
      <w:r w:rsidR="00996235">
        <w:t>?</w:t>
      </w:r>
    </w:p>
    <w:p w14:paraId="410FC787" w14:textId="77777777" w:rsidR="00D11BCF" w:rsidRDefault="00D11BCF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Comprehensive in regulating and guiding essential areas of conduct for the University’s operations?</w:t>
      </w:r>
    </w:p>
    <w:p w14:paraId="1566607C" w14:textId="77777777" w:rsidR="00D11BCF" w:rsidRDefault="009A6305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Able to be evaluated</w:t>
      </w:r>
      <w:r w:rsidR="00662DEB">
        <w:t xml:space="preserve"> with compliance monitored</w:t>
      </w:r>
      <w:r w:rsidR="00A919D5">
        <w:t xml:space="preserve"> in a systematic way</w:t>
      </w:r>
      <w:r>
        <w:t>?</w:t>
      </w:r>
    </w:p>
    <w:p w14:paraId="139031BE" w14:textId="77777777" w:rsidR="009A6305" w:rsidRDefault="009A6305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Applicable for both Higher Education and VET sectors</w:t>
      </w:r>
      <w:r w:rsidR="00A919D5">
        <w:t>? If so, have the needs of each been fully evaluated and included?</w:t>
      </w:r>
    </w:p>
    <w:p w14:paraId="1DD0FE72" w14:textId="77777777" w:rsidR="00A919D5" w:rsidRDefault="00A919D5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both international onshore and offshore students, or are separate policies required?</w:t>
      </w:r>
    </w:p>
    <w:p w14:paraId="75BE2CA2" w14:textId="77777777" w:rsidR="006E78C4" w:rsidRDefault="006E78C4" w:rsidP="006E78C4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partner providers?</w:t>
      </w:r>
    </w:p>
    <w:p w14:paraId="1BC33F29" w14:textId="77777777" w:rsidR="00A919D5" w:rsidRDefault="00A919D5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people living with a disability?</w:t>
      </w:r>
    </w:p>
    <w:p w14:paraId="2C5AC88F" w14:textId="77777777" w:rsidR="00A919D5" w:rsidRDefault="00A919D5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feedback received from key stakeholders and Uni-wide consultation?</w:t>
      </w:r>
    </w:p>
    <w:p w14:paraId="31CCE66C" w14:textId="77777777" w:rsidR="00DB4388" w:rsidRDefault="00DB4388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Reviewed every five years?</w:t>
      </w:r>
    </w:p>
    <w:p w14:paraId="1CB09A39" w14:textId="77777777" w:rsidR="00DB4388" w:rsidRDefault="00DB4388" w:rsidP="00996235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More than six pages in length? (if yes, then it contains too much detail which should be moved to the accompanying procedure)</w:t>
      </w:r>
    </w:p>
    <w:p w14:paraId="3E194025" w14:textId="77777777" w:rsidR="00DB4388" w:rsidRPr="004D7360" w:rsidRDefault="00DB4388" w:rsidP="00DB4388">
      <w:pPr>
        <w:rPr>
          <w:sz w:val="8"/>
          <w:szCs w:val="8"/>
        </w:rPr>
      </w:pPr>
    </w:p>
    <w:p w14:paraId="69BE9133" w14:textId="77777777" w:rsidR="00DB4388" w:rsidRDefault="00DB4388" w:rsidP="00DB4388">
      <w:r>
        <w:t xml:space="preserve">An MSWord Policy Template is available to support the development of new policies – (link) </w:t>
      </w:r>
    </w:p>
    <w:p w14:paraId="4ED52F7D" w14:textId="77777777" w:rsidR="00662DEB" w:rsidRDefault="00662DEB" w:rsidP="00D84CEB"/>
    <w:p w14:paraId="638B9FB5" w14:textId="77777777" w:rsidR="00662DEB" w:rsidRDefault="00662DEB" w:rsidP="00662DEB">
      <w:pPr>
        <w:pStyle w:val="Heading2"/>
        <w:rPr>
          <w:rFonts w:eastAsia="Arial"/>
        </w:rPr>
      </w:pPr>
      <w:r>
        <w:rPr>
          <w:rFonts w:eastAsia="Arial"/>
        </w:rPr>
        <w:t>Content Checklist – Is the procedure?</w:t>
      </w:r>
    </w:p>
    <w:p w14:paraId="7E7ABFA9" w14:textId="77777777" w:rsidR="00662DEB" w:rsidRDefault="00662DEB" w:rsidP="00662DEB"/>
    <w:p w14:paraId="4617BF97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Linked to an over-arching policy?</w:t>
      </w:r>
    </w:p>
    <w:p w14:paraId="181DCDD0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University-wide in its audience and application?</w:t>
      </w:r>
    </w:p>
    <w:p w14:paraId="4A6D62C1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Outlining mandatory actions and steps?</w:t>
      </w:r>
    </w:p>
    <w:p w14:paraId="617256CF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Allocating responsibility for activities?</w:t>
      </w:r>
    </w:p>
    <w:p w14:paraId="7A793516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Easy to read and understand (in layout and grammatical construction)?</w:t>
      </w:r>
    </w:p>
    <w:p w14:paraId="16F690CB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Able to implement its over-arching policy?</w:t>
      </w:r>
    </w:p>
    <w:p w14:paraId="0C1D82B5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Broad enough to meet the across-University needs?</w:t>
      </w:r>
    </w:p>
    <w:p w14:paraId="632C0DC1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Reasonable, realistic and robust?</w:t>
      </w:r>
    </w:p>
    <w:p w14:paraId="2C188134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Able to be evaluated with compliance monitored in a systematic way?</w:t>
      </w:r>
    </w:p>
    <w:p w14:paraId="4321646F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Applicable for both Higher Education and VET sectors? If so, have the needs of each been fully evaluated and included?</w:t>
      </w:r>
    </w:p>
    <w:p w14:paraId="7316C72B" w14:textId="77777777" w:rsidR="00662DEB" w:rsidRDefault="00662DEB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both international onshore and offshore students, or are separate p</w:t>
      </w:r>
      <w:r w:rsidR="00DB4388">
        <w:t>rocedures</w:t>
      </w:r>
      <w:r>
        <w:t xml:space="preserve"> required?</w:t>
      </w:r>
    </w:p>
    <w:p w14:paraId="4BE3BC73" w14:textId="77777777" w:rsidR="006E78C4" w:rsidRDefault="006E78C4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partner providers?</w:t>
      </w:r>
    </w:p>
    <w:p w14:paraId="7AC15D1E" w14:textId="77777777" w:rsidR="00DB4388" w:rsidRDefault="00DB4388" w:rsidP="00DB4388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people living with a disability?</w:t>
      </w:r>
    </w:p>
    <w:p w14:paraId="671E43D4" w14:textId="77777777" w:rsidR="00DB4388" w:rsidRDefault="00DB4388" w:rsidP="00DB4388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Inclusive of feedback received from key stakeholders and Uni-wide consultation?</w:t>
      </w:r>
    </w:p>
    <w:p w14:paraId="0F1D06A4" w14:textId="77777777" w:rsidR="00662DEB" w:rsidRDefault="00DB4388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Describing non-mandatory approaches to actions or activities? (if so, then it is definitely not a procedure)</w:t>
      </w:r>
    </w:p>
    <w:p w14:paraId="67948742" w14:textId="77777777" w:rsidR="00DB4388" w:rsidRDefault="00DB4388" w:rsidP="00662DEB">
      <w:pPr>
        <w:pStyle w:val="ListParagraph"/>
        <w:numPr>
          <w:ilvl w:val="0"/>
          <w:numId w:val="11"/>
        </w:numPr>
        <w:ind w:left="567" w:hanging="567"/>
        <w:contextualSpacing w:val="0"/>
      </w:pPr>
      <w:r>
        <w:t>Reviewed every three years?</w:t>
      </w:r>
    </w:p>
    <w:p w14:paraId="4815EC55" w14:textId="23E80B7A" w:rsidR="00DB4388" w:rsidRDefault="00DB4388" w:rsidP="004D7360">
      <w:pPr>
        <w:spacing w:before="240"/>
      </w:pPr>
      <w:r>
        <w:t>An MSWord Procedure Template is available to support the development of new p</w:t>
      </w:r>
      <w:r w:rsidR="006E78C4">
        <w:t>rocedures</w:t>
      </w:r>
      <w:r>
        <w:t xml:space="preserve"> – </w:t>
      </w:r>
      <w:hyperlink r:id="rId8" w:history="1">
        <w:r w:rsidRPr="00E4483F">
          <w:rPr>
            <w:rStyle w:val="Hyperlink"/>
          </w:rPr>
          <w:t>(link)</w:t>
        </w:r>
      </w:hyperlink>
      <w:r>
        <w:t xml:space="preserve"> </w:t>
      </w:r>
    </w:p>
    <w:p w14:paraId="0C184E4D" w14:textId="77777777" w:rsidR="004D7360" w:rsidRPr="004D7360" w:rsidRDefault="004D7360" w:rsidP="004D7360">
      <w:pPr>
        <w:spacing w:before="240"/>
        <w:rPr>
          <w:sz w:val="8"/>
          <w:szCs w:val="8"/>
        </w:rPr>
      </w:pPr>
    </w:p>
    <w:p w14:paraId="1B809626" w14:textId="15CBC3A3" w:rsidR="00DB4388" w:rsidRPr="00DB4388" w:rsidRDefault="00DB4388" w:rsidP="004D7360">
      <w:pPr>
        <w:spacing w:before="240"/>
      </w:pPr>
      <w:r>
        <w:t xml:space="preserve">For further clarification or assistance please </w:t>
      </w:r>
      <w:r w:rsidR="00E4483F">
        <w:t xml:space="preserve">log a job with </w:t>
      </w:r>
      <w:hyperlink r:id="rId9" w:history="1">
        <w:r w:rsidR="00E4483F" w:rsidRPr="00E4483F">
          <w:rPr>
            <w:rStyle w:val="Hyperlink"/>
          </w:rPr>
          <w:t>Policy ServiceNow</w:t>
        </w:r>
      </w:hyperlink>
      <w:r w:rsidR="00E4483F">
        <w:t>.</w:t>
      </w:r>
      <w:bookmarkEnd w:id="1"/>
    </w:p>
    <w:sectPr w:rsidR="00DB4388" w:rsidRPr="00DB4388" w:rsidSect="00D27AD0">
      <w:headerReference w:type="default" r:id="rId10"/>
      <w:footerReference w:type="default" r:id="rId11"/>
      <w:pgSz w:w="11906" w:h="16838" w:code="9"/>
      <w:pgMar w:top="720" w:right="720" w:bottom="56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557D" w14:textId="77777777" w:rsidR="00B9675B" w:rsidRDefault="00B9675B" w:rsidP="00BD2DE1">
      <w:pPr>
        <w:spacing w:after="0"/>
      </w:pPr>
      <w:r>
        <w:separator/>
      </w:r>
    </w:p>
  </w:endnote>
  <w:endnote w:type="continuationSeparator" w:id="0">
    <w:p w14:paraId="7067F919" w14:textId="77777777" w:rsidR="00B9675B" w:rsidRDefault="00B9675B" w:rsidP="00BD2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227600713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190BF1" w14:textId="4F702615" w:rsidR="00BD2DE1" w:rsidRPr="00BD2DE1" w:rsidRDefault="00E4483F" w:rsidP="00BD2DE1">
            <w:pPr>
              <w:pStyle w:val="Footer"/>
              <w:pBdr>
                <w:top w:val="single" w:sz="4" w:space="1" w:color="auto"/>
              </w:pBdr>
              <w:jc w:val="center"/>
              <w:rPr>
                <w:rFonts w:cs="Arial"/>
                <w:sz w:val="16"/>
                <w:szCs w:val="16"/>
              </w:rPr>
            </w:pPr>
            <w:r w:rsidRPr="00E4483F">
              <w:rPr>
                <w:rFonts w:cs="Arial"/>
                <w:sz w:val="16"/>
                <w:szCs w:val="16"/>
              </w:rPr>
              <w:t>CRICOS Provider No. 00103D | RTO Code 4909 | TEQSA PRV12151 (Australian University)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BD2DE1" w:rsidRPr="00BD2DE1">
              <w:rPr>
                <w:rFonts w:cs="Arial"/>
                <w:sz w:val="16"/>
                <w:szCs w:val="16"/>
              </w:rPr>
              <w:t xml:space="preserve">Page </w:t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4D7360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BD2DE1" w:rsidRPr="00BD2DE1">
              <w:rPr>
                <w:rFonts w:cs="Arial"/>
                <w:sz w:val="16"/>
                <w:szCs w:val="16"/>
              </w:rPr>
              <w:t xml:space="preserve"> of </w:t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4D7360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="00BD2DE1" w:rsidRPr="00BD2DE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EBEF33" w14:textId="77777777" w:rsidR="00BD2DE1" w:rsidRPr="00BD2DE1" w:rsidRDefault="00BD2DE1" w:rsidP="00BD2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65F9" w14:textId="77777777" w:rsidR="00B9675B" w:rsidRDefault="00B9675B" w:rsidP="00BD2DE1">
      <w:pPr>
        <w:spacing w:after="0"/>
      </w:pPr>
      <w:r>
        <w:separator/>
      </w:r>
    </w:p>
  </w:footnote>
  <w:footnote w:type="continuationSeparator" w:id="0">
    <w:p w14:paraId="4E6ACD98" w14:textId="77777777" w:rsidR="00B9675B" w:rsidRDefault="00B9675B" w:rsidP="00BD2D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5D06" w14:textId="77777777" w:rsidR="00BD2DE1" w:rsidRDefault="00047C3B" w:rsidP="00BD2DE1">
    <w:pPr>
      <w:spacing w:after="0" w:line="200" w:lineRule="exact"/>
      <w:rPr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151817" wp14:editId="6D49EEEA">
              <wp:simplePos x="0" y="0"/>
              <wp:positionH relativeFrom="page">
                <wp:posOffset>450850</wp:posOffset>
              </wp:positionH>
              <wp:positionV relativeFrom="page">
                <wp:posOffset>355600</wp:posOffset>
              </wp:positionV>
              <wp:extent cx="2124710" cy="342900"/>
              <wp:effectExtent l="0" t="0" r="889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926BB" w14:textId="77777777" w:rsidR="00BD2DE1" w:rsidRDefault="00E53788" w:rsidP="00BD2DE1">
                          <w:pPr>
                            <w:spacing w:after="0" w:line="531" w:lineRule="exact"/>
                            <w:ind w:left="20" w:right="-95"/>
                            <w:rPr>
                              <w:rFonts w:eastAsia="Arial" w:cs="Arial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444444"/>
                              <w:sz w:val="50"/>
                              <w:szCs w:val="50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5A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5pt;margin-top:28pt;width:167.3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yS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" filled="f" stroked="f">
              <v:textbox inset="0,0,0,0">
                <w:txbxContent>
                  <w:p w:rsidR="00BD2DE1" w:rsidRDefault="00E53788" w:rsidP="00BD2DE1">
                    <w:pPr>
                      <w:spacing w:after="0" w:line="531" w:lineRule="exact"/>
                      <w:ind w:left="20" w:right="-95"/>
                      <w:rPr>
                        <w:rFonts w:eastAsia="Arial" w:cs="Arial"/>
                        <w:sz w:val="50"/>
                        <w:szCs w:val="50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444444"/>
                        <w:sz w:val="50"/>
                        <w:szCs w:val="50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2DE1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85F6890" wp14:editId="0F3B4956">
          <wp:simplePos x="0" y="0"/>
          <wp:positionH relativeFrom="page">
            <wp:posOffset>4500245</wp:posOffset>
          </wp:positionH>
          <wp:positionV relativeFrom="page">
            <wp:posOffset>312420</wp:posOffset>
          </wp:positionV>
          <wp:extent cx="2520315" cy="458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95218" w14:textId="77777777" w:rsidR="00BD2DE1" w:rsidRDefault="00BD2DE1">
    <w:pPr>
      <w:pStyle w:val="Header"/>
    </w:pPr>
  </w:p>
  <w:p w14:paraId="502F5549" w14:textId="77777777" w:rsidR="00BD2DE1" w:rsidRDefault="00BD2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F70"/>
    <w:multiLevelType w:val="hybridMultilevel"/>
    <w:tmpl w:val="344A5D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D0AD3"/>
    <w:multiLevelType w:val="hybridMultilevel"/>
    <w:tmpl w:val="DE5C2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32AA3"/>
    <w:multiLevelType w:val="hybridMultilevel"/>
    <w:tmpl w:val="EA16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66C7"/>
    <w:multiLevelType w:val="hybridMultilevel"/>
    <w:tmpl w:val="4924465E"/>
    <w:lvl w:ilvl="0" w:tplc="0C09000F">
      <w:start w:val="1"/>
      <w:numFmt w:val="decimal"/>
      <w:lvlText w:val="%1."/>
      <w:lvlJc w:val="left"/>
      <w:pPr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3B0026B9"/>
    <w:multiLevelType w:val="hybridMultilevel"/>
    <w:tmpl w:val="63701B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63476"/>
    <w:multiLevelType w:val="hybridMultilevel"/>
    <w:tmpl w:val="AFF6E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56834"/>
    <w:multiLevelType w:val="hybridMultilevel"/>
    <w:tmpl w:val="9BAA6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B433F"/>
    <w:multiLevelType w:val="hybridMultilevel"/>
    <w:tmpl w:val="0430F1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15FD"/>
    <w:multiLevelType w:val="hybridMultilevel"/>
    <w:tmpl w:val="14321F68"/>
    <w:lvl w:ilvl="0" w:tplc="1BAC1EC0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1E76"/>
    <w:multiLevelType w:val="hybridMultilevel"/>
    <w:tmpl w:val="AAD2A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77D4F"/>
    <w:multiLevelType w:val="hybridMultilevel"/>
    <w:tmpl w:val="344A5D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6914797">
    <w:abstractNumId w:val="9"/>
  </w:num>
  <w:num w:numId="2" w16cid:durableId="585070185">
    <w:abstractNumId w:val="2"/>
  </w:num>
  <w:num w:numId="3" w16cid:durableId="322701132">
    <w:abstractNumId w:val="7"/>
  </w:num>
  <w:num w:numId="4" w16cid:durableId="326324504">
    <w:abstractNumId w:val="10"/>
  </w:num>
  <w:num w:numId="5" w16cid:durableId="612400667">
    <w:abstractNumId w:val="0"/>
  </w:num>
  <w:num w:numId="6" w16cid:durableId="1849905127">
    <w:abstractNumId w:val="5"/>
  </w:num>
  <w:num w:numId="7" w16cid:durableId="1232353122">
    <w:abstractNumId w:val="4"/>
  </w:num>
  <w:num w:numId="8" w16cid:durableId="723797042">
    <w:abstractNumId w:val="6"/>
  </w:num>
  <w:num w:numId="9" w16cid:durableId="1899128867">
    <w:abstractNumId w:val="3"/>
  </w:num>
  <w:num w:numId="10" w16cid:durableId="1790464148">
    <w:abstractNumId w:val="1"/>
  </w:num>
  <w:num w:numId="11" w16cid:durableId="2040278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E1"/>
    <w:rsid w:val="00007163"/>
    <w:rsid w:val="00047C3B"/>
    <w:rsid w:val="00053F37"/>
    <w:rsid w:val="00152A4E"/>
    <w:rsid w:val="00167F43"/>
    <w:rsid w:val="00302AFF"/>
    <w:rsid w:val="00423CDE"/>
    <w:rsid w:val="004D7360"/>
    <w:rsid w:val="005A2E98"/>
    <w:rsid w:val="00657F41"/>
    <w:rsid w:val="00662DEB"/>
    <w:rsid w:val="00667F50"/>
    <w:rsid w:val="006D677A"/>
    <w:rsid w:val="006E78C4"/>
    <w:rsid w:val="007912C9"/>
    <w:rsid w:val="009265D1"/>
    <w:rsid w:val="00996235"/>
    <w:rsid w:val="009A6305"/>
    <w:rsid w:val="009D30E1"/>
    <w:rsid w:val="00A5287F"/>
    <w:rsid w:val="00A919D5"/>
    <w:rsid w:val="00B9675B"/>
    <w:rsid w:val="00BD2DE1"/>
    <w:rsid w:val="00D11BCF"/>
    <w:rsid w:val="00D27AD0"/>
    <w:rsid w:val="00D84CEB"/>
    <w:rsid w:val="00DB4388"/>
    <w:rsid w:val="00E4483F"/>
    <w:rsid w:val="00E53788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FECEB"/>
  <w15:chartTrackingRefBased/>
  <w15:docId w15:val="{2D8B0A67-DE4E-451C-B097-5FBC43B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FF"/>
    <w:pPr>
      <w:widowControl w:val="0"/>
      <w:spacing w:after="12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AFF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F41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E1"/>
  </w:style>
  <w:style w:type="paragraph" w:styleId="Footer">
    <w:name w:val="footer"/>
    <w:basedOn w:val="Normal"/>
    <w:link w:val="FooterChar"/>
    <w:uiPriority w:val="99"/>
    <w:unhideWhenUsed/>
    <w:rsid w:val="00BD2D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E1"/>
  </w:style>
  <w:style w:type="character" w:customStyle="1" w:styleId="Heading1Char">
    <w:name w:val="Heading 1 Char"/>
    <w:basedOn w:val="DefaultParagraphFont"/>
    <w:link w:val="Heading1"/>
    <w:uiPriority w:val="9"/>
    <w:rsid w:val="00302AFF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2DE1"/>
    <w:pPr>
      <w:widowControl/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047C3B"/>
    <w:pPr>
      <w:ind w:left="720"/>
      <w:contextualSpacing/>
    </w:pPr>
  </w:style>
  <w:style w:type="table" w:styleId="TableGrid">
    <w:name w:val="Table Grid"/>
    <w:basedOn w:val="TableNormal"/>
    <w:uiPriority w:val="39"/>
    <w:rsid w:val="0004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7F41"/>
    <w:rPr>
      <w:rFonts w:ascii="Arial" w:eastAsiaTheme="majorEastAsia" w:hAnsi="Arial" w:cstheme="majorBidi"/>
      <w:b/>
      <w:color w:val="2E74B5" w:themeColor="accent1" w:themeShade="BF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3C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23CD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265D1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unhideWhenUsed/>
    <w:rsid w:val="00E4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federation.edu.au%2F__data%2Fassets%2Fword_doc%2F0005%2F497408%2FProcedure-Template.doc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deration.service-now.com/p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1CE1-E865-4B0E-92B5-0FAAAC52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Caudle</dc:creator>
  <cp:keywords/>
  <dc:description/>
  <cp:lastModifiedBy>April Rowsell</cp:lastModifiedBy>
  <cp:revision>6</cp:revision>
  <dcterms:created xsi:type="dcterms:W3CDTF">2016-02-17T03:08:00Z</dcterms:created>
  <dcterms:modified xsi:type="dcterms:W3CDTF">2023-09-26T22:45:00Z</dcterms:modified>
</cp:coreProperties>
</file>